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308D27">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color w:val="auto"/>
          <w:sz w:val="44"/>
          <w:szCs w:val="44"/>
          <w:highlight w:val="none"/>
          <w:vertAlign w:val="baseline"/>
          <w:lang w:val="en-US" w:eastAsia="zh-CN" w:bidi="ar-SA"/>
        </w:rPr>
        <w:t>关于《化州市乡镇管道燃气特许经营项目实施方案》的</w:t>
      </w:r>
      <w:r>
        <w:rPr>
          <w:rFonts w:hint="default" w:ascii="Times New Roman" w:hAnsi="Times New Roman" w:eastAsia="方正小标宋简体" w:cs="Times New Roman"/>
          <w:b w:val="0"/>
          <w:bCs w:val="0"/>
          <w:sz w:val="44"/>
          <w:szCs w:val="44"/>
          <w:lang w:val="en-US" w:eastAsia="zh-CN"/>
        </w:rPr>
        <w:t>解读</w:t>
      </w:r>
    </w:p>
    <w:p w14:paraId="60F7E71F">
      <w:pPr>
        <w:keepNext w:val="0"/>
        <w:keepLines w:val="0"/>
        <w:pageBreakBefore w:val="0"/>
        <w:widowControl w:val="0"/>
        <w:numPr>
          <w:ilvl w:val="0"/>
          <w:numId w:val="0"/>
        </w:numPr>
        <w:kinsoku/>
        <w:wordWrap/>
        <w:overflowPunct/>
        <w:topLinePunct w:val="0"/>
        <w:autoSpaceDE/>
        <w:autoSpaceDN/>
        <w:bidi w:val="0"/>
        <w:adjustRightInd/>
        <w:snapToGrid/>
        <w:spacing w:line="660" w:lineRule="exact"/>
        <w:ind w:firstLine="640" w:firstLineChars="200"/>
        <w:jc w:val="both"/>
        <w:textAlignment w:val="auto"/>
        <w:rPr>
          <w:rFonts w:hint="default" w:ascii="Times New Roman" w:hAnsi="Times New Roman" w:eastAsia="黑体" w:cs="Times New Roman"/>
          <w:b w:val="0"/>
          <w:bCs w:val="0"/>
          <w:sz w:val="32"/>
          <w:szCs w:val="32"/>
          <w:highlight w:val="none"/>
          <w:lang w:val="en-US" w:eastAsia="zh-CN"/>
        </w:rPr>
      </w:pPr>
    </w:p>
    <w:p w14:paraId="6E7982F6">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黑体" w:cs="Times New Roman"/>
          <w:b w:val="0"/>
          <w:bCs w:val="0"/>
          <w:sz w:val="32"/>
          <w:szCs w:val="32"/>
          <w:highlight w:val="none"/>
          <w:lang w:val="en-US" w:eastAsia="zh-CN"/>
        </w:rPr>
      </w:pPr>
      <w:r>
        <w:rPr>
          <w:rFonts w:hint="default" w:ascii="Times New Roman" w:hAnsi="Times New Roman" w:eastAsia="黑体" w:cs="Times New Roman"/>
          <w:b w:val="0"/>
          <w:bCs w:val="0"/>
          <w:sz w:val="32"/>
          <w:szCs w:val="32"/>
          <w:highlight w:val="none"/>
          <w:lang w:val="en-US" w:eastAsia="zh-CN"/>
        </w:rPr>
        <w:t>一、《方案》编制背景</w:t>
      </w:r>
    </w:p>
    <w:p w14:paraId="0066E445">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城镇燃气基础设施建设与发展规划以习近平新时代中国特色社会主义思想为指导，是巩固脱贫攻坚成果，发展乡村振兴重要的开端，完善农村基础设施建设，改善农村生活条件和质量是当下重要的艰巨任务，天然气项目的建设是不可缺少的一项重要基础设施建设项目。化州市乡镇管道燃气项目的建设满足</w:t>
      </w:r>
      <w:r>
        <w:rPr>
          <w:rFonts w:hint="eastAsia" w:eastAsia="仿宋_GB2312" w:cs="Times New Roman"/>
          <w:sz w:val="32"/>
          <w:szCs w:val="32"/>
          <w:highlight w:val="none"/>
          <w:lang w:val="en-US" w:eastAsia="zh-CN"/>
        </w:rPr>
        <w:t>乡镇</w:t>
      </w:r>
      <w:r>
        <w:rPr>
          <w:rFonts w:hint="default" w:ascii="Times New Roman" w:hAnsi="Times New Roman" w:eastAsia="仿宋_GB2312" w:cs="Times New Roman"/>
          <w:sz w:val="32"/>
          <w:szCs w:val="32"/>
          <w:highlight w:val="none"/>
          <w:lang w:val="en-US" w:eastAsia="zh-CN"/>
        </w:rPr>
        <w:t>尽快普及使用管道燃气的需要，实现LNG</w:t>
      </w:r>
      <w:r>
        <w:rPr>
          <w:rFonts w:hint="eastAsia" w:eastAsia="仿宋_GB2312" w:cs="Times New Roman"/>
          <w:sz w:val="32"/>
          <w:szCs w:val="32"/>
          <w:highlight w:val="none"/>
          <w:lang w:val="en-US" w:eastAsia="zh-CN"/>
        </w:rPr>
        <w:t>瓶组</w:t>
      </w:r>
      <w:r>
        <w:rPr>
          <w:rFonts w:hint="default" w:ascii="Times New Roman" w:hAnsi="Times New Roman" w:eastAsia="仿宋_GB2312" w:cs="Times New Roman"/>
          <w:sz w:val="32"/>
          <w:szCs w:val="32"/>
          <w:highlight w:val="none"/>
          <w:lang w:val="en-US" w:eastAsia="zh-CN"/>
        </w:rPr>
        <w:t>与管道供气方式滚动协调发展，充分满足居民需要，发挥清洁能源优势，引导和促进能源结构的优化。抓住</w:t>
      </w:r>
      <w:r>
        <w:rPr>
          <w:rFonts w:hint="eastAsia" w:eastAsia="仿宋_GB2312" w:cs="Times New Roman"/>
          <w:sz w:val="32"/>
          <w:szCs w:val="32"/>
          <w:highlight w:val="none"/>
          <w:lang w:val="en-US" w:eastAsia="zh-CN"/>
        </w:rPr>
        <w:t>广东省</w:t>
      </w:r>
      <w:r>
        <w:rPr>
          <w:rFonts w:hint="default" w:ascii="Times New Roman" w:hAnsi="Times New Roman" w:eastAsia="仿宋_GB2312" w:cs="Times New Roman"/>
          <w:sz w:val="32"/>
          <w:szCs w:val="32"/>
          <w:highlight w:val="none"/>
          <w:lang w:val="en-US" w:eastAsia="zh-CN"/>
        </w:rPr>
        <w:t>高质量发展机遇，集中力量搞好水、电、气、路网等基础设施建设，实现</w:t>
      </w:r>
      <w:r>
        <w:rPr>
          <w:rFonts w:hint="eastAsia" w:eastAsia="仿宋_GB2312" w:cs="Times New Roman"/>
          <w:sz w:val="32"/>
          <w:szCs w:val="32"/>
          <w:highlight w:val="none"/>
          <w:lang w:val="en-US" w:eastAsia="zh-CN"/>
        </w:rPr>
        <w:t>化州市</w:t>
      </w:r>
      <w:r>
        <w:rPr>
          <w:rFonts w:hint="default" w:ascii="Times New Roman" w:hAnsi="Times New Roman" w:eastAsia="仿宋_GB2312" w:cs="Times New Roman"/>
          <w:sz w:val="32"/>
          <w:szCs w:val="32"/>
          <w:highlight w:val="none"/>
          <w:lang w:val="en-US" w:eastAsia="zh-CN"/>
        </w:rPr>
        <w:t>经济可持续发展，为加快</w:t>
      </w:r>
      <w:r>
        <w:rPr>
          <w:rFonts w:hint="eastAsia" w:eastAsia="仿宋_GB2312" w:cs="Times New Roman"/>
          <w:sz w:val="32"/>
          <w:szCs w:val="32"/>
          <w:highlight w:val="none"/>
          <w:lang w:val="en-US" w:eastAsia="zh-CN"/>
        </w:rPr>
        <w:t>化州市</w:t>
      </w:r>
      <w:r>
        <w:rPr>
          <w:rFonts w:hint="default" w:ascii="Times New Roman" w:hAnsi="Times New Roman" w:eastAsia="仿宋_GB2312" w:cs="Times New Roman"/>
          <w:sz w:val="32"/>
          <w:szCs w:val="32"/>
          <w:highlight w:val="none"/>
          <w:lang w:val="en-US" w:eastAsia="zh-CN"/>
        </w:rPr>
        <w:t>乡村振兴发展带来了千载难逢的发展契机。</w:t>
      </w:r>
    </w:p>
    <w:p w14:paraId="26711031">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eastAsia" w:eastAsia="仿宋_GB2312" w:cs="Times New Roman"/>
          <w:sz w:val="32"/>
          <w:szCs w:val="32"/>
          <w:highlight w:val="none"/>
          <w:lang w:val="en-US" w:eastAsia="zh-CN"/>
        </w:rPr>
        <w:t>管道燃气</w:t>
      </w:r>
      <w:r>
        <w:rPr>
          <w:rFonts w:hint="default" w:ascii="Times New Roman" w:hAnsi="Times New Roman" w:eastAsia="仿宋_GB2312" w:cs="Times New Roman"/>
          <w:sz w:val="32"/>
          <w:szCs w:val="32"/>
          <w:highlight w:val="none"/>
          <w:lang w:val="en-US" w:eastAsia="zh-CN"/>
        </w:rPr>
        <w:t>这一现代化乡镇和新农村的生活标志，已经成为一个城镇和乡村现代化水平高低的标志。</w:t>
      </w:r>
      <w:r>
        <w:rPr>
          <w:rFonts w:hint="eastAsia" w:eastAsia="仿宋_GB2312" w:cs="Times New Roman"/>
          <w:sz w:val="32"/>
          <w:szCs w:val="32"/>
          <w:highlight w:val="none"/>
          <w:lang w:val="en-US" w:eastAsia="zh-CN"/>
        </w:rPr>
        <w:t>化州市</w:t>
      </w:r>
      <w:r>
        <w:rPr>
          <w:rFonts w:hint="default" w:ascii="Times New Roman" w:hAnsi="Times New Roman" w:eastAsia="仿宋_GB2312" w:cs="Times New Roman"/>
          <w:sz w:val="32"/>
          <w:szCs w:val="32"/>
          <w:highlight w:val="none"/>
          <w:lang w:val="en-US" w:eastAsia="zh-CN"/>
        </w:rPr>
        <w:t>要建设成为经济快速发展、生态不断改善、社会和谐稳定、人民安居乐业的试点地区，乡镇天然气供应、管道建设项目必将同步实施。</w:t>
      </w:r>
    </w:p>
    <w:p w14:paraId="43442652">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二、编制原则</w:t>
      </w:r>
    </w:p>
    <w:p w14:paraId="251F926D">
      <w:pPr>
        <w:pStyle w:val="3"/>
        <w:keepNext w:val="0"/>
        <w:keepLines w:val="0"/>
        <w:pageBreakBefore w:val="0"/>
        <w:widowControl w:val="0"/>
        <w:shd w:val="clear"/>
        <w:kinsoku/>
        <w:wordWrap/>
        <w:overflowPunct/>
        <w:topLinePunct w:val="0"/>
        <w:autoSpaceDE w:val="0"/>
        <w:autoSpaceDN w:val="0"/>
        <w:bidi w:val="0"/>
        <w:adjustRightInd/>
        <w:snapToGrid/>
        <w:spacing w:line="578" w:lineRule="exact"/>
        <w:ind w:left="0" w:right="0" w:firstLine="640" w:firstLineChars="200"/>
        <w:jc w:val="both"/>
        <w:textAlignment w:val="auto"/>
        <w:rPr>
          <w:rFonts w:hint="default" w:ascii="Times New Roman" w:hAnsi="Times New Roman" w:eastAsia="仿宋_GB2312" w:cs="Times New Roman"/>
          <w:kern w:val="2"/>
          <w:sz w:val="32"/>
          <w:szCs w:val="32"/>
          <w:lang w:val="zh-CN" w:eastAsia="zh-CN" w:bidi="ar-SA"/>
        </w:rPr>
      </w:pPr>
      <w:r>
        <w:rPr>
          <w:rFonts w:hint="default" w:ascii="Times New Roman" w:hAnsi="Times New Roman" w:eastAsia="仿宋_GB2312" w:cs="Times New Roman"/>
          <w:kern w:val="2"/>
          <w:sz w:val="32"/>
          <w:szCs w:val="32"/>
          <w:lang w:val="zh-CN" w:eastAsia="zh-CN" w:bidi="ar-SA"/>
        </w:rPr>
        <w:t>为了确保本项目的顺利实施，在运作过程中须贯彻以下原则：</w:t>
      </w:r>
    </w:p>
    <w:p w14:paraId="3BFAECE2">
      <w:pPr>
        <w:pStyle w:val="10"/>
        <w:keepNext w:val="0"/>
        <w:keepLines w:val="0"/>
        <w:pageBreakBefore w:val="0"/>
        <w:widowControl w:val="0"/>
        <w:numPr>
          <w:ilvl w:val="0"/>
          <w:numId w:val="2"/>
        </w:numPr>
        <w:shd w:val="clear"/>
        <w:tabs>
          <w:tab w:val="left" w:pos="1090"/>
        </w:tabs>
        <w:kinsoku/>
        <w:wordWrap/>
        <w:overflowPunct/>
        <w:topLinePunct w:val="0"/>
        <w:autoSpaceDE w:val="0"/>
        <w:autoSpaceDN w:val="0"/>
        <w:bidi w:val="0"/>
        <w:adjustRightInd/>
        <w:snapToGrid/>
        <w:spacing w:before="0" w:after="0" w:line="578" w:lineRule="exact"/>
        <w:ind w:left="0" w:leftChars="0" w:right="0" w:firstLine="640" w:firstLineChars="200"/>
        <w:jc w:val="both"/>
        <w:textAlignment w:val="auto"/>
        <w:rPr>
          <w:rFonts w:hint="default" w:ascii="Times New Roman" w:hAnsi="Times New Roman" w:eastAsia="仿宋_GB2312" w:cs="Times New Roman"/>
          <w:kern w:val="2"/>
          <w:sz w:val="32"/>
          <w:szCs w:val="32"/>
          <w:lang w:val="zh-CN" w:eastAsia="zh-CN" w:bidi="ar-SA"/>
        </w:rPr>
      </w:pPr>
      <w:r>
        <w:rPr>
          <w:rFonts w:hint="default" w:ascii="Times New Roman" w:hAnsi="Times New Roman" w:eastAsia="仿宋_GB2312" w:cs="Times New Roman"/>
          <w:kern w:val="2"/>
          <w:sz w:val="32"/>
          <w:szCs w:val="32"/>
          <w:lang w:val="zh-CN" w:eastAsia="zh-CN" w:bidi="ar-SA"/>
        </w:rPr>
        <w:t>严格执行相关法律法规政策规定，确保依法合规；</w:t>
      </w:r>
    </w:p>
    <w:p w14:paraId="1642CAD7">
      <w:pPr>
        <w:pStyle w:val="10"/>
        <w:keepNext w:val="0"/>
        <w:keepLines w:val="0"/>
        <w:pageBreakBefore w:val="0"/>
        <w:widowControl w:val="0"/>
        <w:numPr>
          <w:ilvl w:val="0"/>
          <w:numId w:val="2"/>
        </w:numPr>
        <w:shd w:val="clear"/>
        <w:tabs>
          <w:tab w:val="left" w:pos="1090"/>
        </w:tabs>
        <w:kinsoku/>
        <w:wordWrap/>
        <w:overflowPunct/>
        <w:topLinePunct w:val="0"/>
        <w:autoSpaceDE w:val="0"/>
        <w:autoSpaceDN w:val="0"/>
        <w:bidi w:val="0"/>
        <w:adjustRightInd/>
        <w:snapToGrid/>
        <w:spacing w:before="0" w:after="0" w:line="578" w:lineRule="exact"/>
        <w:ind w:left="0" w:leftChars="0" w:right="0" w:firstLine="640" w:firstLineChars="200"/>
        <w:jc w:val="both"/>
        <w:textAlignment w:val="auto"/>
        <w:rPr>
          <w:rFonts w:hint="default" w:ascii="Times New Roman" w:hAnsi="Times New Roman" w:eastAsia="仿宋_GB2312" w:cs="Times New Roman"/>
          <w:kern w:val="2"/>
          <w:sz w:val="32"/>
          <w:szCs w:val="32"/>
          <w:lang w:val="zh-CN" w:eastAsia="zh-CN" w:bidi="ar-SA"/>
        </w:rPr>
      </w:pPr>
      <w:r>
        <w:rPr>
          <w:rFonts w:hint="default" w:ascii="Times New Roman" w:hAnsi="Times New Roman" w:eastAsia="仿宋_GB2312" w:cs="Times New Roman"/>
          <w:kern w:val="2"/>
          <w:sz w:val="32"/>
          <w:szCs w:val="32"/>
          <w:lang w:val="zh-CN" w:eastAsia="zh-CN" w:bidi="ar-SA"/>
        </w:rPr>
        <w:t>坚持“公平、公正、公开”，依法选择特许经营者；</w:t>
      </w:r>
    </w:p>
    <w:p w14:paraId="6388FF2E">
      <w:pPr>
        <w:pStyle w:val="10"/>
        <w:keepNext w:val="0"/>
        <w:keepLines w:val="0"/>
        <w:pageBreakBefore w:val="0"/>
        <w:widowControl w:val="0"/>
        <w:numPr>
          <w:ilvl w:val="0"/>
          <w:numId w:val="2"/>
        </w:numPr>
        <w:shd w:val="clear"/>
        <w:tabs>
          <w:tab w:val="left" w:pos="1090"/>
        </w:tabs>
        <w:kinsoku/>
        <w:wordWrap/>
        <w:overflowPunct/>
        <w:topLinePunct w:val="0"/>
        <w:autoSpaceDE w:val="0"/>
        <w:autoSpaceDN w:val="0"/>
        <w:bidi w:val="0"/>
        <w:adjustRightInd/>
        <w:snapToGrid/>
        <w:spacing w:before="0" w:after="0" w:line="578" w:lineRule="exact"/>
        <w:ind w:left="0" w:leftChars="0" w:right="0" w:firstLine="640" w:firstLineChars="200"/>
        <w:jc w:val="both"/>
        <w:textAlignment w:val="auto"/>
        <w:rPr>
          <w:rFonts w:hint="default" w:ascii="Times New Roman" w:hAnsi="Times New Roman" w:eastAsia="仿宋_GB2312" w:cs="Times New Roman"/>
          <w:kern w:val="2"/>
          <w:sz w:val="32"/>
          <w:szCs w:val="32"/>
          <w:lang w:val="zh-CN" w:eastAsia="zh-CN" w:bidi="ar-SA"/>
        </w:rPr>
      </w:pPr>
      <w:r>
        <w:rPr>
          <w:rFonts w:hint="default" w:ascii="Times New Roman" w:hAnsi="Times New Roman" w:eastAsia="仿宋_GB2312" w:cs="Times New Roman"/>
          <w:kern w:val="2"/>
          <w:sz w:val="32"/>
          <w:szCs w:val="32"/>
          <w:lang w:val="zh-CN" w:eastAsia="zh-CN" w:bidi="ar-SA"/>
        </w:rPr>
        <w:t>发挥特许经营者在投资、建设、运营维护和管理方面的优势，提高公共服务质量效率；</w:t>
      </w:r>
    </w:p>
    <w:p w14:paraId="6BB847B9">
      <w:pPr>
        <w:pStyle w:val="10"/>
        <w:keepNext w:val="0"/>
        <w:keepLines w:val="0"/>
        <w:pageBreakBefore w:val="0"/>
        <w:widowControl w:val="0"/>
        <w:numPr>
          <w:ilvl w:val="0"/>
          <w:numId w:val="2"/>
        </w:numPr>
        <w:shd w:val="clear"/>
        <w:tabs>
          <w:tab w:val="left" w:pos="1090"/>
        </w:tabs>
        <w:kinsoku/>
        <w:wordWrap/>
        <w:overflowPunct/>
        <w:topLinePunct w:val="0"/>
        <w:autoSpaceDE w:val="0"/>
        <w:autoSpaceDN w:val="0"/>
        <w:bidi w:val="0"/>
        <w:adjustRightInd/>
        <w:snapToGrid/>
        <w:spacing w:before="0" w:after="0" w:line="578" w:lineRule="exact"/>
        <w:ind w:left="0" w:leftChars="0" w:right="0" w:firstLine="640" w:firstLineChars="200"/>
        <w:jc w:val="both"/>
        <w:textAlignment w:val="auto"/>
        <w:rPr>
          <w:rFonts w:hint="default" w:ascii="Times New Roman" w:hAnsi="Times New Roman" w:eastAsia="仿宋_GB2312" w:cs="Times New Roman"/>
          <w:kern w:val="2"/>
          <w:sz w:val="32"/>
          <w:szCs w:val="32"/>
          <w:lang w:val="zh-CN" w:eastAsia="zh-CN" w:bidi="ar-SA"/>
        </w:rPr>
      </w:pPr>
      <w:r>
        <w:rPr>
          <w:rFonts w:hint="default" w:ascii="Times New Roman" w:hAnsi="Times New Roman" w:eastAsia="仿宋_GB2312" w:cs="Times New Roman"/>
          <w:kern w:val="2"/>
          <w:sz w:val="32"/>
          <w:szCs w:val="32"/>
          <w:lang w:val="zh-CN" w:eastAsia="zh-CN" w:bidi="ar-SA"/>
        </w:rPr>
        <w:t>转变政府职能，强化政府的有效监管；</w:t>
      </w:r>
    </w:p>
    <w:p w14:paraId="2EDDFE64">
      <w:pPr>
        <w:pStyle w:val="10"/>
        <w:keepNext w:val="0"/>
        <w:keepLines w:val="0"/>
        <w:pageBreakBefore w:val="0"/>
        <w:widowControl w:val="0"/>
        <w:numPr>
          <w:ilvl w:val="0"/>
          <w:numId w:val="2"/>
        </w:numPr>
        <w:shd w:val="clear"/>
        <w:tabs>
          <w:tab w:val="left" w:pos="1090"/>
        </w:tabs>
        <w:kinsoku/>
        <w:wordWrap/>
        <w:overflowPunct/>
        <w:topLinePunct w:val="0"/>
        <w:autoSpaceDE w:val="0"/>
        <w:autoSpaceDN w:val="0"/>
        <w:bidi w:val="0"/>
        <w:adjustRightInd/>
        <w:snapToGrid/>
        <w:spacing w:before="0" w:after="0" w:line="578" w:lineRule="exact"/>
        <w:ind w:left="0" w:leftChars="0" w:right="0" w:firstLine="640" w:firstLineChars="200"/>
        <w:jc w:val="both"/>
        <w:textAlignment w:val="auto"/>
        <w:rPr>
          <w:rFonts w:hint="default" w:ascii="Times New Roman" w:hAnsi="Times New Roman" w:eastAsia="仿宋_GB2312" w:cs="Times New Roman"/>
          <w:kern w:val="2"/>
          <w:sz w:val="32"/>
          <w:szCs w:val="32"/>
          <w:lang w:val="zh-CN" w:eastAsia="zh-CN" w:bidi="ar-SA"/>
        </w:rPr>
      </w:pPr>
      <w:r>
        <w:rPr>
          <w:rFonts w:hint="default" w:ascii="Times New Roman" w:hAnsi="Times New Roman" w:eastAsia="仿宋_GB2312" w:cs="Times New Roman"/>
          <w:kern w:val="2"/>
          <w:sz w:val="32"/>
          <w:szCs w:val="32"/>
          <w:lang w:val="zh-CN" w:eastAsia="zh-CN" w:bidi="ar-SA"/>
        </w:rPr>
        <w:t>保护特许经营者合法权益，保证特许经营权的持续性和稳定性。</w:t>
      </w:r>
    </w:p>
    <w:p w14:paraId="229CD2E0">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黑体" w:cs="Times New Roman"/>
          <w:b w:val="0"/>
          <w:bCs w:val="0"/>
          <w:sz w:val="32"/>
          <w:szCs w:val="32"/>
          <w:highlight w:val="none"/>
          <w:lang w:val="en-US" w:eastAsia="zh-CN"/>
        </w:rPr>
      </w:pPr>
      <w:r>
        <w:rPr>
          <w:rFonts w:hint="default" w:ascii="Times New Roman" w:hAnsi="Times New Roman" w:eastAsia="黑体" w:cs="Times New Roman"/>
          <w:b w:val="0"/>
          <w:bCs w:val="0"/>
          <w:sz w:val="32"/>
          <w:szCs w:val="32"/>
          <w:highlight w:val="none"/>
          <w:lang w:val="en-US" w:eastAsia="zh-CN"/>
        </w:rPr>
        <w:t>三、《方案》的目标和意义</w:t>
      </w:r>
    </w:p>
    <w:p w14:paraId="22E93150">
      <w:pPr>
        <w:pageBreakBefore w:val="0"/>
        <w:numPr>
          <w:ilvl w:val="0"/>
          <w:numId w:val="3"/>
        </w:numPr>
        <w:kinsoku/>
        <w:wordWrap/>
        <w:overflowPunct/>
        <w:topLinePunct w:val="0"/>
        <w:bidi w:val="0"/>
        <w:adjustRightInd/>
        <w:snapToGrid/>
        <w:spacing w:line="578" w:lineRule="exact"/>
        <w:ind w:left="0" w:leftChars="0" w:firstLine="643" w:firstLineChars="200"/>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《方案》运作的目标</w:t>
      </w:r>
    </w:p>
    <w:p w14:paraId="3F5EB48E">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highlight w:val="none"/>
          <w:lang w:val="zh-CN" w:eastAsia="zh-CN"/>
        </w:rPr>
      </w:pPr>
      <w:r>
        <w:rPr>
          <w:rFonts w:hint="default" w:ascii="Times New Roman" w:hAnsi="Times New Roman" w:eastAsia="仿宋_GB2312" w:cs="Times New Roman"/>
          <w:sz w:val="32"/>
          <w:szCs w:val="32"/>
          <w:highlight w:val="none"/>
          <w:lang w:val="en-US" w:eastAsia="zh-CN"/>
        </w:rPr>
        <w:t>项目管道燃气的建设涉及范围</w:t>
      </w:r>
      <w:r>
        <w:rPr>
          <w:rFonts w:hint="eastAsia" w:eastAsia="仿宋_GB2312" w:cs="Times New Roman"/>
          <w:sz w:val="32"/>
          <w:szCs w:val="32"/>
          <w:highlight w:val="none"/>
          <w:lang w:val="en-US" w:eastAsia="zh-CN"/>
        </w:rPr>
        <w:t>为</w:t>
      </w:r>
      <w:r>
        <w:rPr>
          <w:rFonts w:hint="eastAsia"/>
          <w:color w:val="000000" w:themeColor="text1"/>
          <w:highlight w:val="none"/>
          <w:lang w:val="en-US" w:eastAsia="zh-CN"/>
          <w14:textFill>
            <w14:solidFill>
              <w14:schemeClr w14:val="tx1"/>
            </w14:solidFill>
          </w14:textFill>
        </w:rPr>
        <w:t>化州市</w:t>
      </w:r>
      <w:r>
        <w:rPr>
          <w:rFonts w:hint="default"/>
          <w:color w:val="000000" w:themeColor="text1"/>
          <w:highlight w:val="none"/>
          <w:lang w:val="en-US" w:eastAsia="zh-CN"/>
          <w14:textFill>
            <w14:solidFill>
              <w14:schemeClr w14:val="tx1"/>
            </w14:solidFill>
          </w14:textFill>
        </w:rPr>
        <w:t>丽岗镇、林尘镇、江湖镇、那务镇、播扬镇、宝圩镇、文楼镇、平定镇、合江镇、中垌镇、官桥镇、新安镇、良光镇、</w:t>
      </w:r>
      <w:r>
        <w:rPr>
          <w:rFonts w:hint="default" w:ascii="Times New Roman" w:hAnsi="Times New Roman"/>
          <w:color w:val="000000" w:themeColor="text1"/>
          <w:highlight w:val="none"/>
          <w:lang w:val="en-US" w:eastAsia="zh-CN"/>
          <w14:textFill>
            <w14:solidFill>
              <w14:schemeClr w14:val="tx1"/>
            </w14:solidFill>
          </w14:textFill>
        </w:rPr>
        <w:t>笪桥镇、</w:t>
      </w:r>
      <w:r>
        <w:rPr>
          <w:rFonts w:hint="eastAsia" w:ascii="Times New Roman" w:hAnsi="Times New Roman"/>
          <w:color w:val="000000" w:themeColor="text1"/>
          <w:highlight w:val="none"/>
          <w:lang w:val="en-US" w:eastAsia="zh-CN"/>
          <w14:textFill>
            <w14:solidFill>
              <w14:schemeClr w14:val="tx1"/>
            </w14:solidFill>
          </w14:textFill>
        </w:rPr>
        <w:t>杨梅镇[不包括杨梅产业聚集区及空港物流园（茂名临空经济起步区）]</w:t>
      </w:r>
      <w:r>
        <w:rPr>
          <w:rFonts w:hint="default" w:ascii="Times New Roman" w:hAnsi="Times New Roman"/>
          <w:color w:val="000000" w:themeColor="text1"/>
          <w:highlight w:val="none"/>
          <w:lang w:val="en-US" w:eastAsia="zh-CN"/>
          <w14:textFill>
            <w14:solidFill>
              <w14:schemeClr w14:val="tx1"/>
            </w14:solidFill>
          </w14:textFill>
        </w:rPr>
        <w:t>、长岐镇、同庆镇</w:t>
      </w:r>
      <w:r>
        <w:rPr>
          <w:rFonts w:hint="eastAsia" w:ascii="Times New Roman" w:hAnsi="Times New Roman"/>
          <w:color w:val="000000" w:themeColor="text1"/>
          <w:highlight w:val="none"/>
          <w:lang w:val="en-US" w:eastAsia="zh-CN"/>
          <w14:textFill>
            <w14:solidFill>
              <w14:schemeClr w14:val="tx1"/>
            </w14:solidFill>
          </w14:textFill>
        </w:rPr>
        <w:t>（不包括茂名监狱）等</w:t>
      </w:r>
      <w:r>
        <w:rPr>
          <w:rFonts w:hint="default" w:ascii="Times New Roman" w:hAnsi="Times New Roman"/>
          <w:color w:val="000000" w:themeColor="text1"/>
          <w:highlight w:val="none"/>
          <w:lang w:val="en-US" w:eastAsia="zh-CN"/>
          <w14:textFill>
            <w14:solidFill>
              <w14:schemeClr w14:val="tx1"/>
            </w14:solidFill>
          </w14:textFill>
        </w:rPr>
        <w:t>1</w:t>
      </w:r>
      <w:r>
        <w:rPr>
          <w:rFonts w:hint="eastAsia" w:ascii="Times New Roman" w:hAnsi="Times New Roman"/>
          <w:color w:val="000000" w:themeColor="text1"/>
          <w:highlight w:val="none"/>
          <w:lang w:val="en-US" w:eastAsia="zh-CN"/>
          <w14:textFill>
            <w14:solidFill>
              <w14:schemeClr w14:val="tx1"/>
            </w14:solidFill>
          </w14:textFill>
        </w:rPr>
        <w:t>7个镇的行政区域</w:t>
      </w:r>
      <w:r>
        <w:rPr>
          <w:rFonts w:hint="default" w:ascii="Times New Roman" w:hAnsi="Times New Roman"/>
          <w:color w:val="000000" w:themeColor="text1"/>
          <w:highlight w:val="none"/>
          <w:lang w:val="en-US" w:eastAsia="zh-CN"/>
          <w14:textFill>
            <w14:solidFill>
              <w14:schemeClr w14:val="tx1"/>
            </w14:solidFill>
          </w14:textFill>
        </w:rPr>
        <w:t>。实施方案重点为合理预测燃气用量，通过对项目收入、成本等测</w:t>
      </w:r>
      <w:r>
        <w:rPr>
          <w:rFonts w:hint="default" w:ascii="Times New Roman" w:hAnsi="Times New Roman" w:eastAsia="仿宋_GB2312" w:cs="Times New Roman"/>
          <w:sz w:val="32"/>
          <w:szCs w:val="32"/>
          <w:highlight w:val="none"/>
          <w:lang w:val="en-US" w:eastAsia="zh-CN"/>
        </w:rPr>
        <w:t>算和分析，论证项目财务可行性，同时通过边界条件、履约保障、绩效考核等相关约定，规范项目的实施，最终保障项目管理手段科学智能、服务质量可靠可信、行业市场诚信有序，促进项目有序开展。</w:t>
      </w:r>
    </w:p>
    <w:p w14:paraId="6018AB33">
      <w:pPr>
        <w:pageBreakBefore w:val="0"/>
        <w:numPr>
          <w:ilvl w:val="0"/>
          <w:numId w:val="3"/>
        </w:numPr>
        <w:kinsoku/>
        <w:wordWrap/>
        <w:overflowPunct/>
        <w:topLinePunct w:val="0"/>
        <w:bidi w:val="0"/>
        <w:adjustRightInd/>
        <w:snapToGrid/>
        <w:spacing w:line="578" w:lineRule="exact"/>
        <w:ind w:left="0" w:leftChars="0" w:firstLine="643" w:firstLineChars="200"/>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《方案》运作的意义</w:t>
      </w:r>
    </w:p>
    <w:p w14:paraId="5F3165F3">
      <w:pPr>
        <w:pStyle w:val="10"/>
        <w:keepNext w:val="0"/>
        <w:keepLines w:val="0"/>
        <w:pageBreakBefore w:val="0"/>
        <w:widowControl w:val="0"/>
        <w:numPr>
          <w:ilvl w:val="0"/>
          <w:numId w:val="4"/>
        </w:numPr>
        <w:shd w:val="clear"/>
        <w:tabs>
          <w:tab w:val="left" w:pos="1090"/>
        </w:tabs>
        <w:kinsoku/>
        <w:wordWrap/>
        <w:overflowPunct/>
        <w:topLinePunct w:val="0"/>
        <w:autoSpaceDE w:val="0"/>
        <w:autoSpaceDN w:val="0"/>
        <w:bidi w:val="0"/>
        <w:adjustRightInd/>
        <w:snapToGrid/>
        <w:spacing w:before="0" w:after="0" w:line="578" w:lineRule="exact"/>
        <w:ind w:left="0" w:leftChars="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能够提升政府治理能力</w:t>
      </w:r>
    </w:p>
    <w:p w14:paraId="09F029B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highlight w:val="none"/>
          <w:lang w:val="zh-CN" w:eastAsia="zh-CN"/>
        </w:rPr>
      </w:pPr>
      <w:r>
        <w:rPr>
          <w:rFonts w:hint="default" w:ascii="Times New Roman" w:hAnsi="Times New Roman" w:eastAsia="仿宋_GB2312" w:cs="Times New Roman"/>
          <w:sz w:val="32"/>
          <w:szCs w:val="32"/>
          <w:highlight w:val="none"/>
          <w:lang w:val="en-US" w:eastAsia="zh-CN"/>
        </w:rPr>
        <w:t>规</w:t>
      </w:r>
      <w:r>
        <w:rPr>
          <w:rFonts w:hint="default" w:ascii="Times New Roman" w:hAnsi="Times New Roman" w:eastAsia="仿宋_GB2312" w:cs="Times New Roman"/>
          <w:sz w:val="32"/>
          <w:szCs w:val="32"/>
          <w:highlight w:val="none"/>
          <w:lang w:val="zh-CN" w:eastAsia="zh-CN"/>
        </w:rPr>
        <w:t>范的</w:t>
      </w:r>
      <w:r>
        <w:rPr>
          <w:rFonts w:hint="default" w:ascii="Times New Roman" w:hAnsi="Times New Roman" w:eastAsia="仿宋_GB2312" w:cs="Times New Roman"/>
          <w:sz w:val="32"/>
          <w:szCs w:val="32"/>
          <w:highlight w:val="none"/>
          <w:lang w:val="en-US" w:eastAsia="zh-CN"/>
        </w:rPr>
        <w:t>特许经营</w:t>
      </w:r>
      <w:r>
        <w:rPr>
          <w:rFonts w:hint="default" w:ascii="Times New Roman" w:hAnsi="Times New Roman" w:eastAsia="仿宋_GB2312" w:cs="Times New Roman"/>
          <w:sz w:val="32"/>
          <w:szCs w:val="32"/>
          <w:highlight w:val="none"/>
          <w:lang w:val="zh-CN" w:eastAsia="zh-CN"/>
        </w:rPr>
        <w:t>模式能够将政府的发展规划、市场监管、公共服务职能</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zh-CN" w:eastAsia="zh-CN"/>
        </w:rPr>
        <w:t>与特许经营者的管理效率、技术创新动力有机结合，减少政府对微观事务的过度参与，提高公共服务的效率与质量。要求平等参与、公开透明，有利于简政放权，更好地实现政府职能转变，弘扬契约文化，体现现代国家治理理念。</w:t>
      </w:r>
    </w:p>
    <w:p w14:paraId="20530ABD">
      <w:pPr>
        <w:pStyle w:val="10"/>
        <w:keepNext w:val="0"/>
        <w:keepLines w:val="0"/>
        <w:pageBreakBefore w:val="0"/>
        <w:widowControl w:val="0"/>
        <w:numPr>
          <w:ilvl w:val="0"/>
          <w:numId w:val="4"/>
        </w:numPr>
        <w:shd w:val="clear"/>
        <w:tabs>
          <w:tab w:val="left" w:pos="1090"/>
        </w:tabs>
        <w:kinsoku/>
        <w:wordWrap/>
        <w:overflowPunct/>
        <w:topLinePunct w:val="0"/>
        <w:autoSpaceDE w:val="0"/>
        <w:autoSpaceDN w:val="0"/>
        <w:bidi w:val="0"/>
        <w:adjustRightInd/>
        <w:snapToGrid/>
        <w:spacing w:before="0" w:after="0" w:line="578" w:lineRule="exact"/>
        <w:ind w:left="0" w:leftChars="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zh-CN" w:eastAsia="zh-CN" w:bidi="ar-SA"/>
        </w:rPr>
        <w:t>振兴地区经济、促进地区全面发展</w:t>
      </w:r>
    </w:p>
    <w:p w14:paraId="2D642A31">
      <w:pPr>
        <w:pStyle w:val="2"/>
        <w:pageBreakBefore w:val="0"/>
        <w:widowControl w:val="0"/>
        <w:numPr>
          <w:ilvl w:val="1"/>
          <w:numId w:val="0"/>
        </w:numPr>
        <w:kinsoku/>
        <w:wordWrap/>
        <w:overflowPunct/>
        <w:topLinePunct w:val="0"/>
        <w:autoSpaceDE/>
        <w:autoSpaceDN/>
        <w:bidi w:val="0"/>
        <w:adjustRightInd/>
        <w:snapToGrid/>
        <w:spacing w:line="578" w:lineRule="exact"/>
        <w:ind w:leftChars="0" w:firstLine="640" w:firstLineChars="200"/>
        <w:textAlignment w:val="auto"/>
        <w:rPr>
          <w:rFonts w:hint="default" w:ascii="Times New Roman" w:hAnsi="Times New Roman" w:eastAsia="仿宋_GB2312" w:cs="Times New Roman"/>
          <w:b w:val="0"/>
          <w:bCs w:val="0"/>
          <w:kern w:val="2"/>
          <w:sz w:val="32"/>
          <w:szCs w:val="32"/>
          <w:highlight w:val="none"/>
          <w:lang w:val="zh-CN" w:eastAsia="zh-CN" w:bidi="ar-SA"/>
        </w:rPr>
      </w:pPr>
      <w:r>
        <w:rPr>
          <w:rFonts w:hint="default" w:ascii="Times New Roman" w:hAnsi="Times New Roman" w:eastAsia="仿宋_GB2312" w:cs="Times New Roman"/>
          <w:b w:val="0"/>
          <w:bCs w:val="0"/>
          <w:kern w:val="2"/>
          <w:sz w:val="32"/>
          <w:szCs w:val="32"/>
          <w:highlight w:val="none"/>
          <w:lang w:val="en-US" w:eastAsia="zh-CN" w:bidi="ar-SA"/>
        </w:rPr>
        <w:t>项目的实施是加快</w:t>
      </w:r>
      <w:r>
        <w:rPr>
          <w:rFonts w:hint="eastAsia" w:ascii="Times New Roman" w:hAnsi="Times New Roman" w:eastAsia="仿宋_GB2312" w:cs="Times New Roman"/>
          <w:b w:val="0"/>
          <w:bCs w:val="0"/>
          <w:kern w:val="2"/>
          <w:sz w:val="32"/>
          <w:szCs w:val="32"/>
          <w:highlight w:val="none"/>
          <w:lang w:val="en-US" w:eastAsia="zh-CN" w:bidi="ar-SA"/>
        </w:rPr>
        <w:t>化州市</w:t>
      </w:r>
      <w:r>
        <w:rPr>
          <w:rFonts w:hint="default" w:ascii="Times New Roman" w:hAnsi="Times New Roman" w:eastAsia="仿宋_GB2312" w:cs="Times New Roman"/>
          <w:b w:val="0"/>
          <w:bCs w:val="0"/>
          <w:kern w:val="2"/>
          <w:sz w:val="32"/>
          <w:szCs w:val="32"/>
          <w:highlight w:val="none"/>
          <w:lang w:val="en-US" w:eastAsia="zh-CN" w:bidi="ar-SA"/>
        </w:rPr>
        <w:t>经济社会发展，完善基础设施体系，提高空气质量进而加强生态环境保护的有力措施。同时，在改善</w:t>
      </w:r>
      <w:r>
        <w:rPr>
          <w:rFonts w:hint="eastAsia" w:ascii="Times New Roman" w:hAnsi="Times New Roman" w:eastAsia="仿宋_GB2312" w:cs="Times New Roman"/>
          <w:b w:val="0"/>
          <w:bCs w:val="0"/>
          <w:kern w:val="2"/>
          <w:sz w:val="32"/>
          <w:szCs w:val="32"/>
          <w:highlight w:val="none"/>
          <w:lang w:val="en-US" w:eastAsia="zh-CN" w:bidi="ar-SA"/>
        </w:rPr>
        <w:t>化州市</w:t>
      </w:r>
      <w:r>
        <w:rPr>
          <w:rFonts w:hint="default" w:ascii="Times New Roman" w:hAnsi="Times New Roman" w:eastAsia="仿宋_GB2312" w:cs="Times New Roman"/>
          <w:b w:val="0"/>
          <w:bCs w:val="0"/>
          <w:kern w:val="2"/>
          <w:sz w:val="32"/>
          <w:szCs w:val="32"/>
          <w:highlight w:val="none"/>
          <w:lang w:val="en-US" w:eastAsia="zh-CN" w:bidi="ar-SA"/>
        </w:rPr>
        <w:t>能源结构方面将发挥十分积极的作用，</w:t>
      </w:r>
      <w:r>
        <w:rPr>
          <w:rFonts w:hint="default" w:ascii="Times New Roman" w:hAnsi="Times New Roman" w:eastAsia="仿宋_GB2312" w:cs="Times New Roman"/>
          <w:b w:val="0"/>
          <w:bCs w:val="0"/>
          <w:kern w:val="2"/>
          <w:sz w:val="32"/>
          <w:szCs w:val="32"/>
          <w:highlight w:val="none"/>
          <w:lang w:val="zh-CN" w:eastAsia="zh-CN" w:bidi="ar-SA"/>
        </w:rPr>
        <w:t>对促进该地区的全面发展、振兴该区域的经济、发展当地的燃气事业具有重要意义。</w:t>
      </w:r>
    </w:p>
    <w:p w14:paraId="05F88A8A">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黑体" w:cs="Times New Roman"/>
          <w:b w:val="0"/>
          <w:bCs w:val="0"/>
          <w:sz w:val="32"/>
          <w:szCs w:val="32"/>
          <w:highlight w:val="none"/>
          <w:lang w:val="en-US" w:eastAsia="zh-CN"/>
        </w:rPr>
        <w:t>四、《方案》主要内容</w:t>
      </w:r>
    </w:p>
    <w:p w14:paraId="66E4B414">
      <w:pPr>
        <w:pStyle w:val="10"/>
        <w:keepNext w:val="0"/>
        <w:keepLines w:val="0"/>
        <w:pageBreakBefore w:val="0"/>
        <w:widowControl w:val="0"/>
        <w:numPr>
          <w:ilvl w:val="0"/>
          <w:numId w:val="5"/>
        </w:numPr>
        <w:shd w:val="clear"/>
        <w:tabs>
          <w:tab w:val="left" w:pos="1090"/>
        </w:tabs>
        <w:kinsoku/>
        <w:wordWrap/>
        <w:overflowPunct/>
        <w:topLinePunct w:val="0"/>
        <w:autoSpaceDE w:val="0"/>
        <w:autoSpaceDN w:val="0"/>
        <w:bidi w:val="0"/>
        <w:adjustRightInd/>
        <w:snapToGrid/>
        <w:spacing w:before="0" w:after="0" w:line="578" w:lineRule="exact"/>
        <w:ind w:left="0" w:leftChars="0" w:right="0" w:firstLine="643"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b/>
          <w:bCs/>
          <w:kern w:val="2"/>
          <w:sz w:val="32"/>
          <w:szCs w:val="32"/>
          <w:lang w:val="en-US" w:eastAsia="zh-CN" w:bidi="ar-SA"/>
        </w:rPr>
        <w:t>建设范围。</w:t>
      </w:r>
      <w:r>
        <w:rPr>
          <w:rFonts w:hint="default" w:ascii="Times New Roman" w:hAnsi="Times New Roman" w:eastAsia="仿宋_GB2312" w:cs="Times New Roman"/>
          <w:kern w:val="2"/>
          <w:sz w:val="32"/>
          <w:szCs w:val="32"/>
          <w:lang w:val="en-US" w:eastAsia="zh-CN" w:bidi="ar-SA"/>
        </w:rPr>
        <w:t>建设范围为化州市丽岗镇、林尘镇、江湖镇、那务镇、播扬镇、宝圩镇、文楼镇、平定镇、合江镇、中垌镇、官桥镇、新安镇、良光镇、笪桥镇、杨梅镇[不包括杨梅产业聚集区及空港物流园（茂名临空经济起步区）]、长岐镇、同庆镇（不包括茂名监狱）等17个镇的行政区域。</w:t>
      </w:r>
    </w:p>
    <w:p w14:paraId="55F4620B">
      <w:pPr>
        <w:pStyle w:val="10"/>
        <w:keepNext w:val="0"/>
        <w:keepLines w:val="0"/>
        <w:pageBreakBefore w:val="0"/>
        <w:widowControl w:val="0"/>
        <w:numPr>
          <w:ilvl w:val="0"/>
          <w:numId w:val="5"/>
        </w:numPr>
        <w:shd w:val="clear"/>
        <w:tabs>
          <w:tab w:val="left" w:pos="1090"/>
        </w:tabs>
        <w:kinsoku/>
        <w:wordWrap/>
        <w:overflowPunct/>
        <w:topLinePunct w:val="0"/>
        <w:autoSpaceDE w:val="0"/>
        <w:autoSpaceDN w:val="0"/>
        <w:bidi w:val="0"/>
        <w:adjustRightInd/>
        <w:snapToGrid/>
        <w:spacing w:before="0" w:after="0" w:line="578" w:lineRule="exact"/>
        <w:ind w:left="0" w:leftChars="0" w:right="0" w:firstLine="643" w:firstLineChars="200"/>
        <w:jc w:val="both"/>
        <w:textAlignment w:val="auto"/>
        <w:rPr>
          <w:rFonts w:hint="default" w:ascii="Times New Roman" w:hAnsi="Times New Roman" w:eastAsia="仿宋_GB2312" w:cs="Times New Roman"/>
          <w:sz w:val="32"/>
          <w:szCs w:val="32"/>
          <w:highlight w:val="none"/>
          <w:lang w:val="zh-CN" w:eastAsia="zh-CN"/>
        </w:rPr>
      </w:pPr>
      <w:r>
        <w:rPr>
          <w:rFonts w:hint="default" w:ascii="Times New Roman" w:hAnsi="Times New Roman" w:eastAsia="仿宋_GB2312" w:cs="Times New Roman"/>
          <w:b/>
          <w:bCs/>
          <w:kern w:val="2"/>
          <w:sz w:val="32"/>
          <w:szCs w:val="32"/>
          <w:lang w:val="en-US" w:eastAsia="zh-CN" w:bidi="ar-SA"/>
        </w:rPr>
        <w:t>特许经营期限。</w:t>
      </w:r>
      <w:r>
        <w:rPr>
          <w:rFonts w:hint="default" w:ascii="Times New Roman" w:hAnsi="Times New Roman" w:eastAsia="仿宋_GB2312" w:cs="Times New Roman"/>
          <w:kern w:val="2"/>
          <w:sz w:val="32"/>
          <w:szCs w:val="32"/>
          <w:lang w:val="zh-CN" w:eastAsia="zh-CN" w:bidi="ar-SA"/>
        </w:rPr>
        <w:t>项目特许经营期定为</w:t>
      </w:r>
      <w:r>
        <w:rPr>
          <w:rFonts w:hint="eastAsia" w:ascii="Times New Roman" w:hAnsi="Times New Roman" w:eastAsia="仿宋_GB2312" w:cs="Times New Roman"/>
          <w:kern w:val="2"/>
          <w:sz w:val="32"/>
          <w:szCs w:val="32"/>
          <w:lang w:val="en-US" w:eastAsia="zh-CN" w:bidi="ar-SA"/>
        </w:rPr>
        <w:t>3</w:t>
      </w:r>
      <w:r>
        <w:rPr>
          <w:rFonts w:hint="default" w:ascii="Times New Roman" w:hAnsi="Times New Roman" w:eastAsia="仿宋_GB2312" w:cs="Times New Roman"/>
          <w:kern w:val="2"/>
          <w:sz w:val="32"/>
          <w:szCs w:val="32"/>
          <w:lang w:val="zh-CN" w:eastAsia="zh-CN" w:bidi="ar-SA"/>
        </w:rPr>
        <w:t>0年，其中建设期</w:t>
      </w:r>
      <w:r>
        <w:rPr>
          <w:rFonts w:hint="eastAsia" w:ascii="Times New Roman" w:hAnsi="Times New Roman" w:eastAsia="仿宋_GB2312" w:cs="Times New Roman"/>
          <w:kern w:val="2"/>
          <w:sz w:val="32"/>
          <w:szCs w:val="32"/>
          <w:lang w:val="en-US" w:eastAsia="zh-CN" w:bidi="ar-SA"/>
        </w:rPr>
        <w:t>9</w:t>
      </w:r>
      <w:r>
        <w:rPr>
          <w:rFonts w:hint="default" w:ascii="Times New Roman" w:hAnsi="Times New Roman" w:eastAsia="仿宋_GB2312" w:cs="Times New Roman"/>
          <w:kern w:val="2"/>
          <w:sz w:val="32"/>
          <w:szCs w:val="32"/>
          <w:lang w:val="zh-CN" w:eastAsia="zh-CN" w:bidi="ar-SA"/>
        </w:rPr>
        <w:t>年（含建设和运营交叉期），运营期为2</w:t>
      </w:r>
      <w:r>
        <w:rPr>
          <w:rFonts w:hint="eastAsia" w:ascii="Times New Roman" w:hAnsi="Times New Roman" w:eastAsia="仿宋_GB2312" w:cs="Times New Roman"/>
          <w:kern w:val="2"/>
          <w:sz w:val="32"/>
          <w:szCs w:val="32"/>
          <w:lang w:val="en-US" w:eastAsia="zh-CN" w:bidi="ar-SA"/>
        </w:rPr>
        <w:t>1</w:t>
      </w:r>
      <w:r>
        <w:rPr>
          <w:rFonts w:hint="default" w:ascii="Times New Roman" w:hAnsi="Times New Roman" w:eastAsia="仿宋_GB2312" w:cs="Times New Roman"/>
          <w:kern w:val="2"/>
          <w:sz w:val="32"/>
          <w:szCs w:val="32"/>
          <w:lang w:val="zh-CN" w:eastAsia="zh-CN" w:bidi="ar-SA"/>
        </w:rPr>
        <w:t>年。</w:t>
      </w:r>
      <w:r>
        <w:rPr>
          <w:rFonts w:hint="default" w:ascii="Times New Roman" w:hAnsi="Times New Roman" w:eastAsia="仿宋_GB2312" w:cs="Times New Roman"/>
          <w:kern w:val="2"/>
          <w:sz w:val="32"/>
          <w:szCs w:val="32"/>
          <w:lang w:val="en-US" w:eastAsia="zh-CN" w:bidi="ar-SA"/>
        </w:rPr>
        <w:t>根据《基础设施和公共事业特许经营管理办法》（国家发改委等六部委2024年第17号令）第八条 基础设施和公用事业特许经营期限应当根据行业特点、所提供公共产品或服务需求、项目生命周期、项目建设投资和运营成本、投资回收期等综合因素确定，特许经营期限原则上不超过40年，投资规模大、回报周期长的特许经营项目可以根据实际情况适当延长，法律法规另有规定的除外。</w:t>
      </w:r>
      <w:r>
        <w:rPr>
          <w:rFonts w:hint="default" w:ascii="Times New Roman" w:hAnsi="Times New Roman" w:eastAsia="仿宋_GB2312" w:cs="Times New Roman"/>
          <w:kern w:val="2"/>
          <w:sz w:val="32"/>
          <w:szCs w:val="32"/>
          <w:lang w:val="zh-CN" w:eastAsia="zh-CN" w:bidi="ar-SA"/>
        </w:rPr>
        <w:t>”同时</w:t>
      </w:r>
      <w:r>
        <w:rPr>
          <w:rFonts w:hint="default" w:ascii="Times New Roman" w:hAnsi="Times New Roman" w:eastAsia="仿宋_GB2312" w:cs="Times New Roman"/>
          <w:kern w:val="2"/>
          <w:sz w:val="32"/>
          <w:szCs w:val="32"/>
          <w:lang w:val="en-US" w:eastAsia="zh-CN" w:bidi="ar-SA"/>
        </w:rPr>
        <w:t>通过对项目具体</w:t>
      </w:r>
      <w:r>
        <w:rPr>
          <w:rFonts w:hint="default" w:ascii="Times New Roman" w:hAnsi="Times New Roman" w:eastAsia="仿宋_GB2312" w:cs="Times New Roman"/>
          <w:sz w:val="32"/>
          <w:szCs w:val="32"/>
          <w:highlight w:val="none"/>
          <w:lang w:val="en-US" w:eastAsia="zh-CN"/>
        </w:rPr>
        <w:t>情况分析，</w:t>
      </w:r>
      <w:r>
        <w:rPr>
          <w:rFonts w:hint="default" w:ascii="Times New Roman" w:hAnsi="Times New Roman" w:eastAsia="仿宋_GB2312" w:cs="Times New Roman"/>
          <w:sz w:val="32"/>
          <w:szCs w:val="32"/>
          <w:highlight w:val="none"/>
          <w:lang w:val="zh-CN" w:eastAsia="zh-CN"/>
        </w:rPr>
        <w:t>项目特许经营期定为30年，自特许经营协议生效日起计算。</w:t>
      </w:r>
    </w:p>
    <w:p w14:paraId="52745565">
      <w:pPr>
        <w:pStyle w:val="10"/>
        <w:keepNext w:val="0"/>
        <w:keepLines w:val="0"/>
        <w:pageBreakBefore w:val="0"/>
        <w:widowControl w:val="0"/>
        <w:numPr>
          <w:ilvl w:val="0"/>
          <w:numId w:val="5"/>
        </w:numPr>
        <w:shd w:val="clear"/>
        <w:tabs>
          <w:tab w:val="left" w:pos="1090"/>
        </w:tabs>
        <w:kinsoku/>
        <w:wordWrap/>
        <w:overflowPunct/>
        <w:topLinePunct w:val="0"/>
        <w:autoSpaceDE w:val="0"/>
        <w:autoSpaceDN w:val="0"/>
        <w:bidi w:val="0"/>
        <w:adjustRightInd/>
        <w:snapToGrid/>
        <w:spacing w:before="0" w:after="0" w:line="578" w:lineRule="exact"/>
        <w:ind w:left="0" w:leftChars="0" w:right="0" w:firstLine="643"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建设内容与规模。</w:t>
      </w:r>
    </w:p>
    <w:p w14:paraId="30053ECB">
      <w:pPr>
        <w:pStyle w:val="10"/>
        <w:keepNext w:val="0"/>
        <w:keepLines w:val="0"/>
        <w:pageBreakBefore w:val="0"/>
        <w:widowControl w:val="0"/>
        <w:numPr>
          <w:numId w:val="0"/>
        </w:numPr>
        <w:shd w:val="clear"/>
        <w:tabs>
          <w:tab w:val="left" w:pos="1090"/>
        </w:tabs>
        <w:kinsoku/>
        <w:wordWrap/>
        <w:overflowPunct/>
        <w:topLinePunct w:val="0"/>
        <w:autoSpaceDE w:val="0"/>
        <w:autoSpaceDN w:val="0"/>
        <w:bidi w:val="0"/>
        <w:adjustRightInd/>
        <w:snapToGrid/>
        <w:spacing w:before="0" w:after="0" w:line="578" w:lineRule="exact"/>
        <w:ind w:left="0" w:leftChars="0" w:right="0" w:righ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lang w:val="en-US" w:eastAsia="zh-CN"/>
        </w:rPr>
        <w:t>近期重点建设内容</w:t>
      </w:r>
    </w:p>
    <w:p w14:paraId="03616778">
      <w:pPr>
        <w:pStyle w:val="10"/>
        <w:keepNext w:val="0"/>
        <w:keepLines w:val="0"/>
        <w:pageBreakBefore w:val="0"/>
        <w:widowControl w:val="0"/>
        <w:numPr>
          <w:numId w:val="0"/>
        </w:numPr>
        <w:shd w:val="clear"/>
        <w:tabs>
          <w:tab w:val="left" w:pos="1090"/>
        </w:tabs>
        <w:kinsoku/>
        <w:wordWrap/>
        <w:overflowPunct/>
        <w:topLinePunct w:val="0"/>
        <w:autoSpaceDE w:val="0"/>
        <w:autoSpaceDN w:val="0"/>
        <w:bidi w:val="0"/>
        <w:adjustRightInd/>
        <w:snapToGrid/>
        <w:spacing w:before="0" w:after="0" w:line="578" w:lineRule="exact"/>
        <w:ind w:left="0" w:leftChars="0" w:right="0" w:righ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主要包括完成LNG瓶组站、中压管道、管线穿跨越工程、调压设施、抢修设施、SCADA系统的建设。</w:t>
      </w:r>
    </w:p>
    <w:p w14:paraId="70F11D48">
      <w:pPr>
        <w:pStyle w:val="10"/>
        <w:keepNext w:val="0"/>
        <w:keepLines w:val="0"/>
        <w:pageBreakBefore w:val="0"/>
        <w:widowControl w:val="0"/>
        <w:numPr>
          <w:numId w:val="0"/>
        </w:numPr>
        <w:shd w:val="clear"/>
        <w:tabs>
          <w:tab w:val="left" w:pos="1090"/>
        </w:tabs>
        <w:kinsoku/>
        <w:wordWrap/>
        <w:overflowPunct/>
        <w:topLinePunct w:val="0"/>
        <w:autoSpaceDE w:val="0"/>
        <w:autoSpaceDN w:val="0"/>
        <w:bidi w:val="0"/>
        <w:adjustRightInd/>
        <w:snapToGrid/>
        <w:spacing w:before="0" w:after="0" w:line="578" w:lineRule="exact"/>
        <w:ind w:left="0" w:leftChars="0" w:right="0" w:righ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lang w:val="en-US" w:eastAsia="zh-CN"/>
        </w:rPr>
        <w:t>远期重点建设内容</w:t>
      </w:r>
    </w:p>
    <w:p w14:paraId="6281DC2F">
      <w:pPr>
        <w:pStyle w:val="10"/>
        <w:keepNext w:val="0"/>
        <w:keepLines w:val="0"/>
        <w:pageBreakBefore w:val="0"/>
        <w:widowControl w:val="0"/>
        <w:numPr>
          <w:numId w:val="0"/>
        </w:numPr>
        <w:shd w:val="clear"/>
        <w:tabs>
          <w:tab w:val="left" w:pos="1090"/>
        </w:tabs>
        <w:kinsoku/>
        <w:wordWrap/>
        <w:overflowPunct/>
        <w:topLinePunct w:val="0"/>
        <w:autoSpaceDE w:val="0"/>
        <w:autoSpaceDN w:val="0"/>
        <w:bidi w:val="0"/>
        <w:adjustRightInd/>
        <w:snapToGrid/>
        <w:spacing w:before="0" w:after="0" w:line="578" w:lineRule="exact"/>
        <w:ind w:left="0" w:leftChars="0" w:right="0" w:rightChars="0"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主要包括完成良光镇高中压调压站、LNG瓶组站、中压管道、管线穿跨越工程、调压设施、抢修设施、SCADA系统的建设。</w:t>
      </w:r>
    </w:p>
    <w:p w14:paraId="2E0B2007">
      <w:pPr>
        <w:pStyle w:val="10"/>
        <w:keepNext w:val="0"/>
        <w:keepLines w:val="0"/>
        <w:pageBreakBefore w:val="0"/>
        <w:widowControl w:val="0"/>
        <w:numPr>
          <w:numId w:val="0"/>
        </w:numPr>
        <w:shd w:val="clear"/>
        <w:tabs>
          <w:tab w:val="left" w:pos="1090"/>
        </w:tabs>
        <w:kinsoku/>
        <w:wordWrap/>
        <w:overflowPunct/>
        <w:topLinePunct w:val="0"/>
        <w:autoSpaceDE w:val="0"/>
        <w:autoSpaceDN w:val="0"/>
        <w:bidi w:val="0"/>
        <w:adjustRightInd/>
        <w:snapToGrid/>
        <w:spacing w:before="0" w:after="0" w:line="578" w:lineRule="exact"/>
        <w:ind w:left="0" w:leftChars="0" w:right="0" w:rightChars="0" w:firstLine="640" w:firstLineChars="200"/>
        <w:jc w:val="both"/>
        <w:textAlignment w:val="auto"/>
        <w:rPr>
          <w:rFonts w:hint="eastAsia"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项目具体建设内容与规模如下表所示</w:t>
      </w:r>
      <w:r>
        <w:rPr>
          <w:rFonts w:hint="eastAsia" w:ascii="Times New Roman" w:hAnsi="Times New Roman" w:eastAsia="仿宋_GB2312" w:cs="Times New Roman"/>
          <w:sz w:val="32"/>
          <w:szCs w:val="32"/>
          <w:highlight w:val="none"/>
          <w:lang w:val="en-US" w:eastAsia="zh-CN"/>
        </w:rPr>
        <w:t>。</w:t>
      </w:r>
    </w:p>
    <w:p w14:paraId="16258BBB">
      <w:pPr>
        <w:pStyle w:val="10"/>
        <w:keepNext w:val="0"/>
        <w:keepLines w:val="0"/>
        <w:pageBreakBefore w:val="0"/>
        <w:widowControl w:val="0"/>
        <w:numPr>
          <w:numId w:val="0"/>
        </w:numPr>
        <w:shd w:val="clear"/>
        <w:tabs>
          <w:tab w:val="left" w:pos="1090"/>
        </w:tabs>
        <w:kinsoku/>
        <w:wordWrap/>
        <w:overflowPunct/>
        <w:topLinePunct w:val="0"/>
        <w:autoSpaceDE w:val="0"/>
        <w:autoSpaceDN w:val="0"/>
        <w:bidi w:val="0"/>
        <w:adjustRightInd/>
        <w:snapToGrid/>
        <w:spacing w:before="0" w:after="0" w:line="578" w:lineRule="exact"/>
        <w:ind w:left="0" w:leftChars="0" w:right="0" w:rightChars="0" w:firstLine="562" w:firstLineChars="200"/>
        <w:jc w:val="center"/>
        <w:textAlignment w:val="auto"/>
        <w:rPr>
          <w:rFonts w:hint="eastAsia" w:ascii="Times New Roman" w:hAnsi="Times New Roman" w:eastAsia="仿宋_GB2312" w:cs="Times New Roman"/>
          <w:b/>
          <w:bCs/>
          <w:sz w:val="28"/>
          <w:szCs w:val="28"/>
          <w:highlight w:val="none"/>
          <w:lang w:val="en-US" w:eastAsia="zh-CN"/>
        </w:rPr>
      </w:pPr>
      <w:r>
        <w:rPr>
          <w:rFonts w:hint="eastAsia" w:ascii="Times New Roman" w:hAnsi="Times New Roman" w:eastAsia="仿宋_GB2312" w:cs="Times New Roman"/>
          <w:b/>
          <w:bCs/>
          <w:sz w:val="28"/>
          <w:szCs w:val="28"/>
          <w:highlight w:val="none"/>
          <w:lang w:val="en-US" w:eastAsia="zh-CN"/>
        </w:rPr>
        <w:t>项目近期建设内容与规模</w:t>
      </w:r>
      <w:r>
        <w:rPr>
          <w:rFonts w:hint="eastAsia" w:ascii="Times New Roman" w:hAnsi="Times New Roman" w:eastAsia="仿宋_GB2312" w:cs="Times New Roman"/>
          <w:b/>
          <w:bCs/>
          <w:sz w:val="28"/>
          <w:szCs w:val="28"/>
          <w:highlight w:val="none"/>
          <w:lang w:val="en-US" w:eastAsia="zh-CN"/>
        </w:rPr>
        <w:t xml:space="preserve">表  </w:t>
      </w: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31"/>
        <w:gridCol w:w="2743"/>
        <w:gridCol w:w="700"/>
        <w:gridCol w:w="1033"/>
        <w:gridCol w:w="1217"/>
        <w:gridCol w:w="1133"/>
        <w:gridCol w:w="833"/>
        <w:gridCol w:w="865"/>
        <w:gridCol w:w="6"/>
      </w:tblGrid>
      <w:tr w14:paraId="30056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9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1D50B">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序号</w:t>
            </w:r>
          </w:p>
        </w:tc>
        <w:tc>
          <w:tcPr>
            <w:tcW w:w="151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1A52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镇</w:t>
            </w:r>
          </w:p>
        </w:tc>
        <w:tc>
          <w:tcPr>
            <w:tcW w:w="3193"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9C5F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近期（2027年）</w:t>
            </w:r>
          </w:p>
        </w:tc>
      </w:tr>
      <w:tr w14:paraId="576B5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 w:type="pct"/>
          <w:trHeight w:val="659" w:hRule="atLeast"/>
        </w:trPr>
        <w:tc>
          <w:tcPr>
            <w:tcW w:w="29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D26D6">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151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32F60">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386" w:type="pct"/>
            <w:vMerge w:val="restart"/>
            <w:tcBorders>
              <w:top w:val="single" w:color="000000" w:sz="4" w:space="0"/>
              <w:left w:val="single" w:color="000000" w:sz="4" w:space="0"/>
              <w:bottom w:val="single" w:color="000000" w:sz="4" w:space="0"/>
              <w:right w:val="single" w:color="auto" w:sz="4" w:space="0"/>
            </w:tcBorders>
            <w:shd w:val="clear" w:color="auto" w:fill="auto"/>
            <w:vAlign w:val="center"/>
          </w:tcPr>
          <w:p w14:paraId="5C6E9556">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0"/>
                <w:szCs w:val="20"/>
                <w:highlight w:val="none"/>
                <w:u w:val="none"/>
                <w:lang w:val="en-US"/>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highlight w:val="none"/>
                <w:u w:val="none"/>
                <w:lang w:val="en-US" w:eastAsia="zh-CN" w:bidi="ar"/>
                <w14:textFill>
                  <w14:solidFill>
                    <w14:schemeClr w14:val="tx1"/>
                  </w14:solidFill>
                </w14:textFill>
              </w:rPr>
              <w:t>LNG瓶组(座）</w:t>
            </w:r>
          </w:p>
        </w:tc>
        <w:tc>
          <w:tcPr>
            <w:tcW w:w="2326" w:type="pct"/>
            <w:gridSpan w:val="4"/>
            <w:tcBorders>
              <w:top w:val="single" w:color="000000" w:sz="4" w:space="0"/>
              <w:left w:val="single" w:color="auto" w:sz="4" w:space="0"/>
              <w:bottom w:val="single" w:color="000000" w:sz="4" w:space="0"/>
              <w:right w:val="single" w:color="auto" w:sz="4" w:space="0"/>
            </w:tcBorders>
            <w:shd w:val="clear" w:color="auto" w:fill="auto"/>
            <w:vAlign w:val="center"/>
          </w:tcPr>
          <w:p w14:paraId="27168F5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仿宋_GB2312" w:hAnsi="仿宋_GB2312" w:eastAsia="仿宋_GB2312" w:cs="仿宋_GB2312"/>
                <w:i w:val="0"/>
                <w:iCs w:val="0"/>
                <w:color w:val="000000" w:themeColor="text1"/>
                <w:kern w:val="0"/>
                <w:sz w:val="21"/>
                <w:szCs w:val="21"/>
                <w:highlight w:val="none"/>
                <w:u w:val="none"/>
                <w:lang w:val="en-US" w:eastAsia="zh-CN" w:bidi="ar"/>
                <w14:textFill>
                  <w14:solidFill>
                    <w14:schemeClr w14:val="tx1"/>
                  </w14:solidFill>
                </w14:textFill>
              </w:rPr>
              <w:t>中压管道（km）</w:t>
            </w:r>
          </w:p>
        </w:tc>
        <w:tc>
          <w:tcPr>
            <w:tcW w:w="477" w:type="pct"/>
            <w:tcBorders>
              <w:top w:val="single" w:color="auto" w:sz="4" w:space="0"/>
              <w:left w:val="single" w:color="auto" w:sz="4" w:space="0"/>
              <w:bottom w:val="single" w:color="auto" w:sz="4" w:space="0"/>
              <w:right w:val="single" w:color="auto" w:sz="4" w:space="0"/>
            </w:tcBorders>
            <w:shd w:val="clear" w:color="auto" w:fill="auto"/>
            <w:vAlign w:val="center"/>
          </w:tcPr>
          <w:p w14:paraId="15940E76">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调压设施</w:t>
            </w:r>
            <w:r>
              <w:rPr>
                <w:rFonts w:hint="eastAsia" w:ascii="仿宋_GB2312" w:hAnsi="仿宋_GB2312" w:eastAsia="仿宋_GB2312" w:cs="仿宋_GB2312"/>
                <w:i w:val="0"/>
                <w:iCs w:val="0"/>
                <w:color w:val="000000" w:themeColor="text1"/>
                <w:kern w:val="0"/>
                <w:sz w:val="20"/>
                <w:szCs w:val="20"/>
                <w:highlight w:val="none"/>
                <w:u w:val="none"/>
                <w:lang w:val="en-US" w:eastAsia="zh-CN" w:bidi="ar"/>
                <w14:textFill>
                  <w14:solidFill>
                    <w14:schemeClr w14:val="tx1"/>
                  </w14:solidFill>
                </w14:textFill>
              </w:rPr>
              <w:t>(套）</w:t>
            </w:r>
          </w:p>
        </w:tc>
      </w:tr>
      <w:tr w14:paraId="13CF2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29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72202">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151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3D211">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3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3F0FE">
            <w:pPr>
              <w:spacing w:line="240" w:lineRule="auto"/>
              <w:jc w:val="center"/>
              <w:rPr>
                <w:rFonts w:hint="eastAsia" w:ascii="仿宋_GB2312" w:hAnsi="仿宋_GB2312" w:eastAsia="仿宋_GB2312" w:cs="仿宋_GB2312"/>
                <w:i w:val="0"/>
                <w:iCs w:val="0"/>
                <w:color w:val="000000" w:themeColor="text1"/>
                <w:sz w:val="20"/>
                <w:szCs w:val="20"/>
                <w:highlight w:val="none"/>
                <w:u w:val="none"/>
                <w14:textFill>
                  <w14:solidFill>
                    <w14:schemeClr w14:val="tx1"/>
                  </w14:solidFill>
                </w14:textFill>
              </w:rPr>
            </w:pPr>
          </w:p>
        </w:tc>
        <w:tc>
          <w:tcPr>
            <w:tcW w:w="570" w:type="pct"/>
            <w:tcBorders>
              <w:top w:val="single" w:color="000000" w:sz="4" w:space="0"/>
              <w:left w:val="single" w:color="auto" w:sz="4" w:space="0"/>
              <w:bottom w:val="single" w:color="000000" w:sz="4" w:space="0"/>
              <w:right w:val="single" w:color="000000" w:sz="4" w:space="0"/>
            </w:tcBorders>
            <w:shd w:val="clear" w:color="auto" w:fill="auto"/>
            <w:vAlign w:val="center"/>
          </w:tcPr>
          <w:p w14:paraId="181B3A5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1"/>
                <w:szCs w:val="21"/>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1"/>
                <w:szCs w:val="21"/>
                <w:highlight w:val="none"/>
                <w:u w:val="none"/>
                <w:lang w:val="en-US" w:eastAsia="zh-CN" w:bidi="ar"/>
                <w14:textFill>
                  <w14:solidFill>
                    <w14:schemeClr w14:val="tx1"/>
                  </w14:solidFill>
                </w14:textFill>
              </w:rPr>
              <w:t>dn160</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87C2D">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1"/>
                <w:szCs w:val="21"/>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1"/>
                <w:szCs w:val="21"/>
                <w:highlight w:val="none"/>
                <w:u w:val="none"/>
                <w:lang w:val="en-US" w:eastAsia="zh-CN" w:bidi="ar"/>
                <w14:textFill>
                  <w14:solidFill>
                    <w14:schemeClr w14:val="tx1"/>
                  </w14:solidFill>
                </w14:textFill>
              </w:rPr>
              <w:t>dn110</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896C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1"/>
                <w:szCs w:val="21"/>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1"/>
                <w:szCs w:val="21"/>
                <w:highlight w:val="none"/>
                <w:u w:val="none"/>
                <w:lang w:val="en-US" w:eastAsia="zh-CN" w:bidi="ar"/>
                <w14:textFill>
                  <w14:solidFill>
                    <w14:schemeClr w14:val="tx1"/>
                  </w14:solidFill>
                </w14:textFill>
              </w:rPr>
              <w:t>dn90</w:t>
            </w:r>
          </w:p>
        </w:tc>
        <w:tc>
          <w:tcPr>
            <w:tcW w:w="459" w:type="pct"/>
            <w:tcBorders>
              <w:top w:val="single" w:color="000000" w:sz="4" w:space="0"/>
              <w:left w:val="single" w:color="000000" w:sz="4" w:space="0"/>
              <w:bottom w:val="single" w:color="000000" w:sz="4" w:space="0"/>
              <w:right w:val="single" w:color="auto" w:sz="4" w:space="0"/>
            </w:tcBorders>
            <w:shd w:val="clear" w:color="auto" w:fill="auto"/>
            <w:vAlign w:val="center"/>
          </w:tcPr>
          <w:p w14:paraId="21152EC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1"/>
                <w:szCs w:val="21"/>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1"/>
                <w:szCs w:val="21"/>
                <w:highlight w:val="none"/>
                <w:u w:val="none"/>
                <w:lang w:val="en-US" w:eastAsia="zh-CN" w:bidi="ar"/>
                <w14:textFill>
                  <w14:solidFill>
                    <w14:schemeClr w14:val="tx1"/>
                  </w14:solidFill>
                </w14:textFill>
              </w:rPr>
              <w:t>dn63</w:t>
            </w:r>
          </w:p>
        </w:tc>
        <w:tc>
          <w:tcPr>
            <w:tcW w:w="480"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359FCF99">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r>
      <w:tr w14:paraId="41D54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9224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w:t>
            </w:r>
          </w:p>
        </w:tc>
        <w:tc>
          <w:tcPr>
            <w:tcW w:w="1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80A0C">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合江镇</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F9FC9">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lang w:val="en-US"/>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5526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0.96</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189E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2.26</w:t>
            </w: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12F91">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4467C">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480" w:type="pct"/>
            <w:gridSpan w:val="2"/>
            <w:tcBorders>
              <w:top w:val="single" w:color="auto" w:sz="4" w:space="0"/>
              <w:left w:val="single" w:color="000000" w:sz="4" w:space="0"/>
              <w:bottom w:val="single" w:color="000000" w:sz="4" w:space="0"/>
              <w:right w:val="single" w:color="000000" w:sz="4" w:space="0"/>
            </w:tcBorders>
            <w:shd w:val="clear" w:color="auto" w:fill="auto"/>
            <w:noWrap/>
            <w:vAlign w:val="center"/>
          </w:tcPr>
          <w:p w14:paraId="0F7AD345">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19</w:t>
            </w:r>
          </w:p>
        </w:tc>
      </w:tr>
      <w:tr w14:paraId="3197F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2"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4C21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2</w:t>
            </w:r>
          </w:p>
        </w:tc>
        <w:tc>
          <w:tcPr>
            <w:tcW w:w="1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BE95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杨梅镇[不包括杨梅产业聚集区及空港物流园（茂名临空经济起步区）]</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3C562">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8CA6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1.11</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CBD58">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5E50A">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CB423">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48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159A8">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13</w:t>
            </w:r>
          </w:p>
        </w:tc>
      </w:tr>
      <w:tr w14:paraId="13B86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B8B1B">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3</w:t>
            </w:r>
          </w:p>
        </w:tc>
        <w:tc>
          <w:tcPr>
            <w:tcW w:w="1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DFF5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丽岗镇</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A09F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2E1CB">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4F86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0.11</w:t>
            </w: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3F87B">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7B4DD">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48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F676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9</w:t>
            </w:r>
          </w:p>
        </w:tc>
      </w:tr>
      <w:tr w14:paraId="36DAA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3DD5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4</w:t>
            </w:r>
          </w:p>
        </w:tc>
        <w:tc>
          <w:tcPr>
            <w:tcW w:w="1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6E12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官桥镇</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29578">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418EC">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6C72E">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8CED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0.42</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DBB1E">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48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B04C9">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10</w:t>
            </w:r>
          </w:p>
        </w:tc>
      </w:tr>
      <w:tr w14:paraId="18126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49BB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5</w:t>
            </w:r>
          </w:p>
        </w:tc>
        <w:tc>
          <w:tcPr>
            <w:tcW w:w="1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A62B6">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平定镇</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DC25C">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997F1">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181DB">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2.13</w:t>
            </w: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3A06E">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6ACA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0.45</w:t>
            </w:r>
          </w:p>
        </w:tc>
        <w:tc>
          <w:tcPr>
            <w:tcW w:w="48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727B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18</w:t>
            </w:r>
          </w:p>
        </w:tc>
      </w:tr>
      <w:tr w14:paraId="6F9DD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0E2A5">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6</w:t>
            </w:r>
          </w:p>
        </w:tc>
        <w:tc>
          <w:tcPr>
            <w:tcW w:w="1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9138C">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同庆镇（不包括茂名监狱）</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8C735">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99CC9">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0.46</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81192">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0.86</w:t>
            </w: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4F45B">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0.91</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791F6">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0.52</w:t>
            </w:r>
          </w:p>
        </w:tc>
        <w:tc>
          <w:tcPr>
            <w:tcW w:w="48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3364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11</w:t>
            </w:r>
          </w:p>
        </w:tc>
      </w:tr>
      <w:tr w14:paraId="0D1C5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C99C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7</w:t>
            </w:r>
          </w:p>
        </w:tc>
        <w:tc>
          <w:tcPr>
            <w:tcW w:w="1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D632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中垌镇</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8E91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C1B53">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D7348">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0.72</w:t>
            </w: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97EA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0.36</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5F18F">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48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ED8F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18</w:t>
            </w:r>
          </w:p>
        </w:tc>
      </w:tr>
      <w:tr w14:paraId="5214E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C5B2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8</w:t>
            </w:r>
          </w:p>
        </w:tc>
        <w:tc>
          <w:tcPr>
            <w:tcW w:w="1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88BF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良光镇</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29E98">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1D80B">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3.19</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1FF0B">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DAC1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0.44</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C4424">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48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1044C">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9</w:t>
            </w:r>
          </w:p>
        </w:tc>
      </w:tr>
      <w:tr w14:paraId="32510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7B38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9</w:t>
            </w:r>
          </w:p>
        </w:tc>
        <w:tc>
          <w:tcPr>
            <w:tcW w:w="1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55D2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那务镇</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1FF55">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18531">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B3FB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1.06</w:t>
            </w: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50B28">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47FD2">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48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39BE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10</w:t>
            </w:r>
          </w:p>
        </w:tc>
      </w:tr>
      <w:tr w14:paraId="66C0B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AE2C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10</w:t>
            </w:r>
          </w:p>
        </w:tc>
        <w:tc>
          <w:tcPr>
            <w:tcW w:w="1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F131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文楼镇</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C272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44A69">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89E9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1.48</w:t>
            </w: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22FA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1.2</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5216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0.52</w:t>
            </w:r>
          </w:p>
        </w:tc>
        <w:tc>
          <w:tcPr>
            <w:tcW w:w="48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B9F8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8</w:t>
            </w:r>
          </w:p>
        </w:tc>
      </w:tr>
      <w:tr w14:paraId="5CADC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1C92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11</w:t>
            </w:r>
          </w:p>
        </w:tc>
        <w:tc>
          <w:tcPr>
            <w:tcW w:w="1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3890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宝圩镇</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9AE7C">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680D7">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4241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1.15</w:t>
            </w: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79B0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0.11</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384E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0.52</w:t>
            </w:r>
          </w:p>
        </w:tc>
        <w:tc>
          <w:tcPr>
            <w:tcW w:w="48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F5B7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3</w:t>
            </w:r>
          </w:p>
        </w:tc>
      </w:tr>
      <w:tr w14:paraId="3C013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EECD2">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12</w:t>
            </w:r>
          </w:p>
        </w:tc>
        <w:tc>
          <w:tcPr>
            <w:tcW w:w="1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D2D09">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江湖镇</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94978">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7D2A7">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577F6">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3144D">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1.43</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569A5">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1.03</w:t>
            </w:r>
          </w:p>
        </w:tc>
        <w:tc>
          <w:tcPr>
            <w:tcW w:w="48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F9C5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4</w:t>
            </w:r>
          </w:p>
        </w:tc>
      </w:tr>
      <w:tr w14:paraId="21C7F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B6122">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13</w:t>
            </w:r>
          </w:p>
        </w:tc>
        <w:tc>
          <w:tcPr>
            <w:tcW w:w="1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FDC5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新安镇</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1B10D">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983AB">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B0E94">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D6DF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1.49</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7588B">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48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9380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7</w:t>
            </w:r>
          </w:p>
        </w:tc>
      </w:tr>
      <w:tr w14:paraId="57894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6D10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14</w:t>
            </w:r>
          </w:p>
        </w:tc>
        <w:tc>
          <w:tcPr>
            <w:tcW w:w="1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3E8B9">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播扬镇</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13A3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11AA5">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3544C">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0.89</w:t>
            </w: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9C839">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1.11</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685DB">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48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2CD68">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6</w:t>
            </w:r>
          </w:p>
        </w:tc>
      </w:tr>
      <w:tr w14:paraId="3F075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8CFEC">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15</w:t>
            </w:r>
          </w:p>
        </w:tc>
        <w:tc>
          <w:tcPr>
            <w:tcW w:w="1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A97E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林尘镇</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AB5F3">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DB907">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1FD29">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40408">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5A89F">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48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FE396">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9</w:t>
            </w:r>
          </w:p>
        </w:tc>
      </w:tr>
      <w:tr w14:paraId="3735D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5A0A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16</w:t>
            </w:r>
          </w:p>
        </w:tc>
        <w:tc>
          <w:tcPr>
            <w:tcW w:w="1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D249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长岐镇</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0A89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7B76A">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486B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0.46</w:t>
            </w: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58C09">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AF895">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0.39</w:t>
            </w:r>
          </w:p>
        </w:tc>
        <w:tc>
          <w:tcPr>
            <w:tcW w:w="48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803E9">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7</w:t>
            </w:r>
          </w:p>
        </w:tc>
      </w:tr>
      <w:tr w14:paraId="1C69B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5A1D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17</w:t>
            </w:r>
          </w:p>
        </w:tc>
        <w:tc>
          <w:tcPr>
            <w:tcW w:w="1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C74BD">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笪桥镇</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8F9E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71D5C">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0.62</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BAA5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1.93</w:t>
            </w: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FAB87">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40A59">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0.48</w:t>
            </w:r>
          </w:p>
        </w:tc>
        <w:tc>
          <w:tcPr>
            <w:tcW w:w="48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EAC3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6</w:t>
            </w:r>
          </w:p>
        </w:tc>
      </w:tr>
      <w:tr w14:paraId="7B201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DE3DC">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1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AE9D2">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合计</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71355">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lang w:val="en-US"/>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11</w:t>
            </w:r>
          </w:p>
        </w:tc>
        <w:tc>
          <w:tcPr>
            <w:tcW w:w="5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C42AB">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6.34</w:t>
            </w:r>
          </w:p>
        </w:tc>
        <w:tc>
          <w:tcPr>
            <w:tcW w:w="6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B766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13.05</w:t>
            </w: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27C25">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7.47</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FD036">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3.91</w:t>
            </w:r>
          </w:p>
        </w:tc>
        <w:tc>
          <w:tcPr>
            <w:tcW w:w="48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81986">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167</w:t>
            </w:r>
          </w:p>
        </w:tc>
      </w:tr>
    </w:tbl>
    <w:p w14:paraId="3DC15BCA">
      <w:pPr>
        <w:pStyle w:val="10"/>
        <w:keepNext w:val="0"/>
        <w:keepLines w:val="0"/>
        <w:pageBreakBefore w:val="0"/>
        <w:widowControl w:val="0"/>
        <w:numPr>
          <w:numId w:val="0"/>
        </w:numPr>
        <w:shd w:val="clear"/>
        <w:tabs>
          <w:tab w:val="left" w:pos="1090"/>
        </w:tabs>
        <w:kinsoku/>
        <w:wordWrap/>
        <w:overflowPunct/>
        <w:topLinePunct w:val="0"/>
        <w:autoSpaceDE w:val="0"/>
        <w:autoSpaceDN w:val="0"/>
        <w:bidi w:val="0"/>
        <w:adjustRightInd/>
        <w:snapToGrid/>
        <w:spacing w:before="0" w:after="0" w:line="578" w:lineRule="exact"/>
        <w:ind w:left="0" w:leftChars="0" w:right="0" w:rightChars="0" w:firstLine="0" w:firstLineChars="0"/>
        <w:jc w:val="center"/>
        <w:textAlignment w:val="auto"/>
        <w:rPr>
          <w:rFonts w:hint="eastAsia" w:ascii="Times New Roman" w:hAnsi="Times New Roman" w:eastAsia="仿宋_GB2312" w:cs="Times New Roman"/>
          <w:b/>
          <w:bCs/>
          <w:sz w:val="28"/>
          <w:szCs w:val="28"/>
          <w:highlight w:val="none"/>
          <w:lang w:val="en-US" w:eastAsia="zh-CN"/>
        </w:rPr>
      </w:pPr>
      <w:r>
        <w:rPr>
          <w:rFonts w:hint="eastAsia" w:ascii="Times New Roman" w:hAnsi="Times New Roman" w:eastAsia="仿宋_GB2312" w:cs="Times New Roman"/>
          <w:b/>
          <w:bCs/>
          <w:sz w:val="28"/>
          <w:szCs w:val="28"/>
          <w:highlight w:val="none"/>
          <w:lang w:val="en-US" w:eastAsia="zh-CN"/>
        </w:rPr>
        <w:t>项目远期建设内容与规模表</w:t>
      </w: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4"/>
        <w:gridCol w:w="2733"/>
        <w:gridCol w:w="722"/>
        <w:gridCol w:w="1028"/>
        <w:gridCol w:w="1200"/>
        <w:gridCol w:w="1150"/>
        <w:gridCol w:w="1133"/>
        <w:gridCol w:w="566"/>
        <w:gridCol w:w="5"/>
      </w:tblGrid>
      <w:tr w14:paraId="4CAED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8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731D5">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序号</w:t>
            </w:r>
          </w:p>
        </w:tc>
        <w:tc>
          <w:tcPr>
            <w:tcW w:w="150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5CF9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镇</w:t>
            </w:r>
          </w:p>
        </w:tc>
        <w:tc>
          <w:tcPr>
            <w:tcW w:w="398"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34D8D49D">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pPr>
          </w:p>
        </w:tc>
        <w:tc>
          <w:tcPr>
            <w:tcW w:w="2804" w:type="pct"/>
            <w:gridSpan w:val="6"/>
            <w:tcBorders>
              <w:top w:val="single" w:color="000000" w:sz="4" w:space="0"/>
              <w:left w:val="single" w:color="auto" w:sz="4" w:space="0"/>
              <w:bottom w:val="single" w:color="000000" w:sz="4" w:space="0"/>
              <w:right w:val="single" w:color="000000" w:sz="4" w:space="0"/>
            </w:tcBorders>
            <w:shd w:val="clear" w:color="auto" w:fill="auto"/>
            <w:noWrap/>
            <w:vAlign w:val="center"/>
          </w:tcPr>
          <w:p w14:paraId="255D6CA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远期（2035年）</w:t>
            </w:r>
          </w:p>
        </w:tc>
      </w:tr>
      <w:tr w14:paraId="458BF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 w:type="pct"/>
          <w:trHeight w:val="282" w:hRule="atLeast"/>
        </w:trPr>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22AC8">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150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14AED">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398" w:type="pct"/>
            <w:vMerge w:val="restart"/>
            <w:tcBorders>
              <w:top w:val="single" w:color="000000" w:sz="4" w:space="0"/>
              <w:left w:val="single" w:color="000000" w:sz="4" w:space="0"/>
              <w:bottom w:val="single" w:color="000000" w:sz="4" w:space="0"/>
              <w:right w:val="single" w:color="auto" w:sz="4" w:space="0"/>
            </w:tcBorders>
            <w:shd w:val="clear" w:color="auto" w:fill="auto"/>
            <w:vAlign w:val="center"/>
          </w:tcPr>
          <w:p w14:paraId="75D911E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lang w:val="en-US"/>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LNG瓶组(座）</w:t>
            </w:r>
          </w:p>
        </w:tc>
        <w:tc>
          <w:tcPr>
            <w:tcW w:w="2489" w:type="pct"/>
            <w:gridSpan w:val="4"/>
            <w:tcBorders>
              <w:top w:val="single" w:color="000000" w:sz="4" w:space="0"/>
              <w:left w:val="single" w:color="auto" w:sz="4" w:space="0"/>
              <w:bottom w:val="single" w:color="000000" w:sz="4" w:space="0"/>
              <w:right w:val="single" w:color="000000" w:sz="4" w:space="0"/>
            </w:tcBorders>
            <w:shd w:val="clear" w:color="auto" w:fill="auto"/>
            <w:vAlign w:val="center"/>
          </w:tcPr>
          <w:p w14:paraId="0CA6BAA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中压管道（km）</w:t>
            </w:r>
          </w:p>
        </w:tc>
        <w:tc>
          <w:tcPr>
            <w:tcW w:w="312" w:type="pct"/>
            <w:tcBorders>
              <w:top w:val="single" w:color="000000" w:sz="4" w:space="0"/>
              <w:left w:val="single" w:color="000000" w:sz="4" w:space="0"/>
              <w:right w:val="single" w:color="000000" w:sz="4" w:space="0"/>
            </w:tcBorders>
            <w:shd w:val="clear" w:color="auto" w:fill="auto"/>
            <w:vAlign w:val="center"/>
          </w:tcPr>
          <w:p w14:paraId="38D90D1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调压设施(套）</w:t>
            </w:r>
          </w:p>
        </w:tc>
      </w:tr>
      <w:tr w14:paraId="47B48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14E67">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150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9043D">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3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E8F8E">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567" w:type="pct"/>
            <w:tcBorders>
              <w:top w:val="single" w:color="000000" w:sz="4" w:space="0"/>
              <w:left w:val="single" w:color="auto" w:sz="4" w:space="0"/>
              <w:bottom w:val="single" w:color="000000" w:sz="4" w:space="0"/>
              <w:right w:val="single" w:color="000000" w:sz="4" w:space="0"/>
            </w:tcBorders>
            <w:shd w:val="clear" w:color="auto" w:fill="auto"/>
            <w:vAlign w:val="center"/>
          </w:tcPr>
          <w:p w14:paraId="71B86982">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dn160</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5EEE6">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dn110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CD3D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dn90</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5BFF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dn63</w:t>
            </w:r>
          </w:p>
        </w:tc>
        <w:tc>
          <w:tcPr>
            <w:tcW w:w="315" w:type="pct"/>
            <w:gridSpan w:val="2"/>
            <w:tcBorders>
              <w:left w:val="single" w:color="000000" w:sz="4" w:space="0"/>
              <w:right w:val="single" w:color="000000" w:sz="4" w:space="0"/>
            </w:tcBorders>
            <w:shd w:val="clear" w:color="auto" w:fill="auto"/>
            <w:vAlign w:val="center"/>
          </w:tcPr>
          <w:p w14:paraId="36362CB8">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r>
      <w:tr w14:paraId="5923E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AFD0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w:t>
            </w: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A5B1B">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合江镇</w:t>
            </w:r>
          </w:p>
        </w:tc>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166E6">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lang w:val="en-US"/>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2</w:t>
            </w:r>
          </w:p>
        </w:tc>
        <w:tc>
          <w:tcPr>
            <w:tcW w:w="5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290D0">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3.18</w:t>
            </w:r>
          </w:p>
        </w:tc>
        <w:tc>
          <w:tcPr>
            <w:tcW w:w="6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53F8F">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3.8</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667D7">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9.75</w:t>
            </w: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077A1">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3.74</w:t>
            </w:r>
          </w:p>
        </w:tc>
        <w:tc>
          <w:tcPr>
            <w:tcW w:w="31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C365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34</w:t>
            </w:r>
          </w:p>
        </w:tc>
      </w:tr>
      <w:tr w14:paraId="0FE9E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2" w:hRule="atLeast"/>
        </w:trPr>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0FC68">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2</w:t>
            </w: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73E5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杨梅镇[不包括杨梅产业聚集区及空港物流园（茂名临空经济起步区）]</w:t>
            </w:r>
          </w:p>
        </w:tc>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83A86">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5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9ADFE">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1.43</w:t>
            </w:r>
          </w:p>
        </w:tc>
        <w:tc>
          <w:tcPr>
            <w:tcW w:w="6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C92C2">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2.1</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81C2A">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1.97</w:t>
            </w: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3258F">
            <w:pPr>
              <w:spacing w:line="240" w:lineRule="auto"/>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31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EA54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33</w:t>
            </w:r>
          </w:p>
        </w:tc>
      </w:tr>
      <w:tr w14:paraId="75786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8A116">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3</w:t>
            </w: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F08D9">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丽岗镇</w:t>
            </w:r>
          </w:p>
        </w:tc>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E1563">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5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DCE6B">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1.41</w:t>
            </w:r>
          </w:p>
        </w:tc>
        <w:tc>
          <w:tcPr>
            <w:tcW w:w="6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C619B">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0.64</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57CE9">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2.39</w:t>
            </w: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DAB03">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4.31</w:t>
            </w:r>
          </w:p>
        </w:tc>
        <w:tc>
          <w:tcPr>
            <w:tcW w:w="31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A95C8">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36</w:t>
            </w:r>
          </w:p>
        </w:tc>
      </w:tr>
      <w:tr w14:paraId="024F4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07C7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4</w:t>
            </w: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F4DC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官桥镇</w:t>
            </w:r>
          </w:p>
        </w:tc>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5EF11">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5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8BB2C">
            <w:pPr>
              <w:spacing w:line="240" w:lineRule="auto"/>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6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AC2EF">
            <w:pPr>
              <w:spacing w:line="240" w:lineRule="auto"/>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BC01A">
            <w:pPr>
              <w:spacing w:line="240" w:lineRule="auto"/>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0FB87">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2.63</w:t>
            </w:r>
          </w:p>
        </w:tc>
        <w:tc>
          <w:tcPr>
            <w:tcW w:w="31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CC28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41</w:t>
            </w:r>
          </w:p>
        </w:tc>
      </w:tr>
      <w:tr w14:paraId="07460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983A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5</w:t>
            </w: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2304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平定镇</w:t>
            </w:r>
          </w:p>
        </w:tc>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447E8">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w:t>
            </w:r>
          </w:p>
        </w:tc>
        <w:tc>
          <w:tcPr>
            <w:tcW w:w="5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F07E1">
            <w:pPr>
              <w:spacing w:line="240" w:lineRule="auto"/>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6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7C965">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4.58</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350B9">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6.25</w:t>
            </w: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E81FF">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3.23</w:t>
            </w:r>
          </w:p>
        </w:tc>
        <w:tc>
          <w:tcPr>
            <w:tcW w:w="31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99EDC">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61</w:t>
            </w:r>
          </w:p>
        </w:tc>
      </w:tr>
      <w:tr w14:paraId="449AA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8103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6</w:t>
            </w: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E378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同庆镇（不包括茂名监狱）</w:t>
            </w:r>
          </w:p>
        </w:tc>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17186">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5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85C97">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5.23</w:t>
            </w:r>
          </w:p>
        </w:tc>
        <w:tc>
          <w:tcPr>
            <w:tcW w:w="6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FAB56">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4.91</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A753C">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5.76</w:t>
            </w: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E6B15">
            <w:pPr>
              <w:spacing w:line="240" w:lineRule="auto"/>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31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4417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42</w:t>
            </w:r>
          </w:p>
        </w:tc>
      </w:tr>
      <w:tr w14:paraId="3AE51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ACBD8">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7</w:t>
            </w: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F1A5D">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中垌镇</w:t>
            </w:r>
          </w:p>
        </w:tc>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570D8">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w:t>
            </w:r>
          </w:p>
        </w:tc>
        <w:tc>
          <w:tcPr>
            <w:tcW w:w="5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68150">
            <w:pPr>
              <w:spacing w:line="240" w:lineRule="auto"/>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6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29692">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0.61</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3542C">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2.66</w:t>
            </w: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69329">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5.44</w:t>
            </w:r>
          </w:p>
        </w:tc>
        <w:tc>
          <w:tcPr>
            <w:tcW w:w="31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5C16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54</w:t>
            </w:r>
          </w:p>
        </w:tc>
      </w:tr>
      <w:tr w14:paraId="20F23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AE5B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8</w:t>
            </w: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34238">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良光镇</w:t>
            </w:r>
          </w:p>
        </w:tc>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EC652">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5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49640">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1.63</w:t>
            </w:r>
          </w:p>
        </w:tc>
        <w:tc>
          <w:tcPr>
            <w:tcW w:w="6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91187">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2.16</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CC983">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2.05</w:t>
            </w: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ED3B9">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5.7</w:t>
            </w:r>
          </w:p>
        </w:tc>
        <w:tc>
          <w:tcPr>
            <w:tcW w:w="31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4364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48</w:t>
            </w:r>
          </w:p>
        </w:tc>
      </w:tr>
      <w:tr w14:paraId="3F290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58E2B">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9</w:t>
            </w: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CA208">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那务镇</w:t>
            </w:r>
          </w:p>
        </w:tc>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C0642">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w:t>
            </w:r>
          </w:p>
        </w:tc>
        <w:tc>
          <w:tcPr>
            <w:tcW w:w="5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98761">
            <w:pPr>
              <w:spacing w:line="240" w:lineRule="auto"/>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6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6E61F">
            <w:pPr>
              <w:spacing w:line="240" w:lineRule="auto"/>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87343">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1.96</w:t>
            </w: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E844B">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8.29</w:t>
            </w:r>
          </w:p>
        </w:tc>
        <w:tc>
          <w:tcPr>
            <w:tcW w:w="31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EFAD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57</w:t>
            </w:r>
          </w:p>
        </w:tc>
      </w:tr>
      <w:tr w14:paraId="458F6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408D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10</w:t>
            </w: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20C9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文楼镇</w:t>
            </w:r>
          </w:p>
        </w:tc>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1E049">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w:t>
            </w:r>
          </w:p>
        </w:tc>
        <w:tc>
          <w:tcPr>
            <w:tcW w:w="5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367AF">
            <w:pPr>
              <w:spacing w:line="240" w:lineRule="auto"/>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6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90AA1">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3.08</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47CAE">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0.29</w:t>
            </w: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F1C34">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2.81</w:t>
            </w:r>
          </w:p>
        </w:tc>
        <w:tc>
          <w:tcPr>
            <w:tcW w:w="31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C7AE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42</w:t>
            </w:r>
          </w:p>
        </w:tc>
      </w:tr>
      <w:tr w14:paraId="4385F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00676">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11</w:t>
            </w: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9BF35">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宝圩镇</w:t>
            </w:r>
          </w:p>
        </w:tc>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23A9C">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w:t>
            </w:r>
          </w:p>
        </w:tc>
        <w:tc>
          <w:tcPr>
            <w:tcW w:w="5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B6DDD">
            <w:pPr>
              <w:spacing w:line="240" w:lineRule="auto"/>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6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8F5C0">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0.51</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57292">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2.23</w:t>
            </w: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DEDCD">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4.38</w:t>
            </w:r>
          </w:p>
        </w:tc>
        <w:tc>
          <w:tcPr>
            <w:tcW w:w="31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D4E59">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23</w:t>
            </w:r>
          </w:p>
        </w:tc>
      </w:tr>
      <w:tr w14:paraId="400D8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29C05">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12</w:t>
            </w: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0B31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江湖镇</w:t>
            </w:r>
          </w:p>
        </w:tc>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09F3A">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5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6C79D">
            <w:pPr>
              <w:spacing w:line="240" w:lineRule="auto"/>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6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5607D">
            <w:pPr>
              <w:spacing w:line="240" w:lineRule="auto"/>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D870D">
            <w:pPr>
              <w:spacing w:line="240" w:lineRule="auto"/>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703E6">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0.97</w:t>
            </w:r>
          </w:p>
        </w:tc>
        <w:tc>
          <w:tcPr>
            <w:tcW w:w="31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6ADD6">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24</w:t>
            </w:r>
          </w:p>
        </w:tc>
      </w:tr>
      <w:tr w14:paraId="50FCF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3D99C">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13</w:t>
            </w: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C5C5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新安镇</w:t>
            </w:r>
          </w:p>
        </w:tc>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99FA7">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5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A8A1D">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7.87</w:t>
            </w:r>
          </w:p>
        </w:tc>
        <w:tc>
          <w:tcPr>
            <w:tcW w:w="6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FEEE1">
            <w:pPr>
              <w:spacing w:line="240" w:lineRule="auto"/>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AE970">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1.41</w:t>
            </w: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B3363">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1.93</w:t>
            </w:r>
          </w:p>
        </w:tc>
        <w:tc>
          <w:tcPr>
            <w:tcW w:w="31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EFF4B">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37</w:t>
            </w:r>
          </w:p>
        </w:tc>
      </w:tr>
      <w:tr w14:paraId="4BFA2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3A34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14</w:t>
            </w: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CB8DD">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播扬镇</w:t>
            </w:r>
          </w:p>
        </w:tc>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ACE81">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5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61835">
            <w:pPr>
              <w:spacing w:line="240" w:lineRule="auto"/>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6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D3693">
            <w:pPr>
              <w:spacing w:line="240" w:lineRule="auto"/>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4ED09">
            <w:pPr>
              <w:spacing w:line="240" w:lineRule="auto"/>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4C45C">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5.42</w:t>
            </w:r>
          </w:p>
        </w:tc>
        <w:tc>
          <w:tcPr>
            <w:tcW w:w="31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4C8FB">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45</w:t>
            </w:r>
          </w:p>
        </w:tc>
      </w:tr>
      <w:tr w14:paraId="6E463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8577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15</w:t>
            </w: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C45B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林尘镇</w:t>
            </w:r>
          </w:p>
        </w:tc>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945D1">
            <w:pPr>
              <w:spacing w:line="240" w:lineRule="auto"/>
              <w:jc w:val="center"/>
              <w:rPr>
                <w:rFonts w:hint="eastAsia" w:ascii="仿宋_GB2312" w:hAnsi="仿宋_GB2312" w:eastAsia="仿宋_GB2312" w:cs="仿宋_GB2312"/>
                <w:i w:val="0"/>
                <w:iCs w:val="0"/>
                <w:color w:val="000000" w:themeColor="text1"/>
                <w:sz w:val="22"/>
                <w:szCs w:val="22"/>
                <w:highlight w:val="none"/>
                <w:u w:val="none"/>
                <w:lang w:val="en-US" w:eastAsia="zh-CN"/>
                <w14:textFill>
                  <w14:solidFill>
                    <w14:schemeClr w14:val="tx1"/>
                  </w14:solidFill>
                </w14:textFill>
              </w:rPr>
            </w:pPr>
            <w:r>
              <w:rPr>
                <w:rFonts w:hint="eastAsia" w:ascii="仿宋_GB2312" w:hAnsi="仿宋_GB2312" w:eastAsia="仿宋_GB2312" w:cs="仿宋_GB2312"/>
                <w:i w:val="0"/>
                <w:iCs w:val="0"/>
                <w:color w:val="000000" w:themeColor="text1"/>
                <w:sz w:val="22"/>
                <w:szCs w:val="22"/>
                <w:highlight w:val="none"/>
                <w:u w:val="none"/>
                <w:lang w:val="en-US" w:eastAsia="zh-CN"/>
                <w14:textFill>
                  <w14:solidFill>
                    <w14:schemeClr w14:val="tx1"/>
                  </w14:solidFill>
                </w14:textFill>
              </w:rPr>
              <w:t>1</w:t>
            </w:r>
          </w:p>
        </w:tc>
        <w:tc>
          <w:tcPr>
            <w:tcW w:w="5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B6E76">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2.31</w:t>
            </w:r>
          </w:p>
        </w:tc>
        <w:tc>
          <w:tcPr>
            <w:tcW w:w="6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89A01">
            <w:pPr>
              <w:spacing w:line="240" w:lineRule="auto"/>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B8066">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3.87</w:t>
            </w: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D17C9">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2.19</w:t>
            </w:r>
          </w:p>
        </w:tc>
        <w:tc>
          <w:tcPr>
            <w:tcW w:w="31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163E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46</w:t>
            </w:r>
          </w:p>
        </w:tc>
      </w:tr>
      <w:tr w14:paraId="4821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4929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16</w:t>
            </w: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ECBC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长岐镇</w:t>
            </w:r>
          </w:p>
        </w:tc>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CFAE1">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5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C9CD2">
            <w:pPr>
              <w:spacing w:line="240" w:lineRule="auto"/>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6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04A34">
            <w:pPr>
              <w:spacing w:line="240" w:lineRule="auto"/>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12ED0">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1.36</w:t>
            </w: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A9BDC">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3.5</w:t>
            </w:r>
          </w:p>
        </w:tc>
        <w:tc>
          <w:tcPr>
            <w:tcW w:w="31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9A72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29</w:t>
            </w:r>
          </w:p>
        </w:tc>
      </w:tr>
      <w:tr w14:paraId="5AB5E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1962B">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17</w:t>
            </w: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94A6D">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笪桥镇</w:t>
            </w:r>
          </w:p>
        </w:tc>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ECAED">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5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C740D">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1.47</w:t>
            </w:r>
          </w:p>
        </w:tc>
        <w:tc>
          <w:tcPr>
            <w:tcW w:w="6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2EE8F">
            <w:pPr>
              <w:spacing w:line="240" w:lineRule="auto"/>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577C1">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1.52</w:t>
            </w: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80C10">
            <w:pPr>
              <w:keepNext w:val="0"/>
              <w:keepLines w:val="0"/>
              <w:widowControl/>
              <w:suppressLineNumbers w:val="0"/>
              <w:spacing w:line="240" w:lineRule="auto"/>
              <w:jc w:val="right"/>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3.49</w:t>
            </w:r>
          </w:p>
        </w:tc>
        <w:tc>
          <w:tcPr>
            <w:tcW w:w="31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D1742">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23</w:t>
            </w:r>
          </w:p>
        </w:tc>
      </w:tr>
      <w:tr w14:paraId="4BD64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2FE7C">
            <w:pPr>
              <w:spacing w:line="240" w:lineRule="auto"/>
              <w:jc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p>
        </w:tc>
        <w:tc>
          <w:tcPr>
            <w:tcW w:w="15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110B9">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合计</w:t>
            </w:r>
          </w:p>
        </w:tc>
        <w:tc>
          <w:tcPr>
            <w:tcW w:w="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2E0C8">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8</w:t>
            </w:r>
          </w:p>
        </w:tc>
        <w:tc>
          <w:tcPr>
            <w:tcW w:w="5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3A965">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24.53</w:t>
            </w:r>
          </w:p>
        </w:tc>
        <w:tc>
          <w:tcPr>
            <w:tcW w:w="6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2496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22.39</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EF4B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43.47</w:t>
            </w: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1CA5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58.03</w:t>
            </w:r>
          </w:p>
        </w:tc>
        <w:tc>
          <w:tcPr>
            <w:tcW w:w="31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996B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000000" w:themeColor="text1"/>
                <w:sz w:val="22"/>
                <w:szCs w:val="22"/>
                <w:highlight w:val="none"/>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2"/>
                <w:szCs w:val="22"/>
                <w:highlight w:val="none"/>
                <w:u w:val="none"/>
                <w:lang w:val="en-US" w:eastAsia="zh-CN" w:bidi="ar"/>
                <w14:textFill>
                  <w14:solidFill>
                    <w14:schemeClr w14:val="tx1"/>
                  </w14:solidFill>
                </w14:textFill>
              </w:rPr>
              <w:t>675</w:t>
            </w:r>
          </w:p>
        </w:tc>
      </w:tr>
    </w:tbl>
    <w:p w14:paraId="1D6995EF">
      <w:pPr>
        <w:pStyle w:val="10"/>
        <w:keepNext w:val="0"/>
        <w:keepLines w:val="0"/>
        <w:pageBreakBefore w:val="0"/>
        <w:widowControl w:val="0"/>
        <w:numPr>
          <w:ilvl w:val="0"/>
          <w:numId w:val="5"/>
        </w:numPr>
        <w:shd w:val="clear"/>
        <w:tabs>
          <w:tab w:val="left" w:pos="1090"/>
        </w:tabs>
        <w:kinsoku/>
        <w:wordWrap/>
        <w:overflowPunct/>
        <w:topLinePunct w:val="0"/>
        <w:autoSpaceDE w:val="0"/>
        <w:autoSpaceDN w:val="0"/>
        <w:bidi w:val="0"/>
        <w:adjustRightInd/>
        <w:snapToGrid/>
        <w:spacing w:before="0" w:after="0" w:line="578" w:lineRule="exact"/>
        <w:ind w:left="0" w:leftChars="0" w:right="0" w:firstLine="643"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经济效益分析。</w:t>
      </w:r>
      <w:r>
        <w:rPr>
          <w:rFonts w:hint="default" w:ascii="Times New Roman" w:hAnsi="Times New Roman" w:eastAsia="仿宋_GB2312" w:cs="Times New Roman"/>
          <w:sz w:val="32"/>
          <w:szCs w:val="32"/>
          <w:highlight w:val="none"/>
          <w:lang w:val="en-US" w:eastAsia="zh-CN"/>
        </w:rPr>
        <w:t>本项目为能源工程项目，经营收入主要为天然气销售收入。经方案中合理测算，运营本项目向用户收费足以覆盖特许经营建设成本、运营成本，同时获得合理收益。</w:t>
      </w:r>
    </w:p>
    <w:p w14:paraId="0A0E369A">
      <w:pPr>
        <w:pStyle w:val="10"/>
        <w:keepNext w:val="0"/>
        <w:keepLines w:val="0"/>
        <w:pageBreakBefore w:val="0"/>
        <w:widowControl w:val="0"/>
        <w:numPr>
          <w:ilvl w:val="0"/>
          <w:numId w:val="5"/>
        </w:numPr>
        <w:shd w:val="clear"/>
        <w:tabs>
          <w:tab w:val="left" w:pos="1090"/>
        </w:tabs>
        <w:kinsoku/>
        <w:wordWrap/>
        <w:overflowPunct/>
        <w:topLinePunct w:val="0"/>
        <w:autoSpaceDE w:val="0"/>
        <w:autoSpaceDN w:val="0"/>
        <w:bidi w:val="0"/>
        <w:adjustRightInd/>
        <w:snapToGrid/>
        <w:spacing w:before="0" w:after="0" w:line="578" w:lineRule="exact"/>
        <w:ind w:left="0" w:leftChars="0" w:right="0" w:firstLine="643" w:firstLineChars="200"/>
        <w:jc w:val="both"/>
        <w:textAlignment w:val="auto"/>
        <w:rPr>
          <w:rFonts w:hint="default" w:ascii="Times New Roman" w:hAnsi="Times New Roman" w:eastAsia="仿宋_GB2312" w:cs="Times New Roman"/>
          <w:sz w:val="32"/>
          <w:szCs w:val="32"/>
          <w:highlight w:val="none"/>
          <w:lang w:val="zh-CN" w:eastAsia="zh-CN"/>
        </w:rPr>
      </w:pPr>
      <w:r>
        <w:rPr>
          <w:rFonts w:hint="default" w:ascii="Times New Roman" w:hAnsi="Times New Roman" w:eastAsia="仿宋_GB2312" w:cs="Times New Roman"/>
          <w:b/>
          <w:bCs/>
          <w:sz w:val="32"/>
          <w:szCs w:val="32"/>
          <w:highlight w:val="none"/>
          <w:lang w:val="en-US" w:eastAsia="zh-CN"/>
        </w:rPr>
        <w:t>风险分担。</w:t>
      </w:r>
      <w:r>
        <w:rPr>
          <w:rFonts w:hint="default" w:ascii="Times New Roman" w:hAnsi="Times New Roman" w:eastAsia="仿宋_GB2312" w:cs="Times New Roman"/>
          <w:sz w:val="32"/>
          <w:szCs w:val="32"/>
          <w:highlight w:val="none"/>
          <w:lang w:val="zh-CN" w:eastAsia="zh-CN"/>
        </w:rPr>
        <w:t>合理风险分担目标为确定最佳合理风险承担者，有效降低项目全生命周期的风险成本。</w:t>
      </w:r>
      <w:r>
        <w:rPr>
          <w:rFonts w:hint="eastAsia" w:ascii="Times New Roman" w:hAnsi="Times New Roman" w:eastAsia="仿宋_GB2312" w:cs="Times New Roman"/>
          <w:sz w:val="32"/>
          <w:szCs w:val="32"/>
          <w:highlight w:val="none"/>
          <w:lang w:val="zh-CN" w:eastAsia="zh-CN"/>
        </w:rPr>
        <w:t>化州市乡镇管道燃气特许经营</w:t>
      </w:r>
      <w:r>
        <w:rPr>
          <w:rFonts w:hint="default" w:ascii="Times New Roman" w:hAnsi="Times New Roman" w:eastAsia="仿宋_GB2312" w:cs="Times New Roman"/>
          <w:sz w:val="32"/>
          <w:szCs w:val="32"/>
          <w:highlight w:val="none"/>
          <w:lang w:val="zh-CN" w:eastAsia="zh-CN"/>
        </w:rPr>
        <w:t>项目风险合理分担依据为：项目设计、建造、融资和运营等商业风险由项目公司承担，法律、政策等风险由政府承担，不可抗力等风险由政府和项目公司合理共担。</w:t>
      </w:r>
    </w:p>
    <w:p w14:paraId="55721D3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highlight w:val="yellow"/>
          <w:lang w:val="en-US" w:eastAsia="zh-CN"/>
        </w:rPr>
      </w:pPr>
      <w:bookmarkStart w:id="0" w:name="_GoBack"/>
      <w:bookmarkEnd w:id="0"/>
    </w:p>
    <w:sectPr>
      <w:footerReference r:id="rId5" w:type="default"/>
      <w:pgSz w:w="11906" w:h="16838"/>
      <w:pgMar w:top="2098" w:right="1474" w:bottom="1984" w:left="1587"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3E62FC4-E374-46B3-9791-1A3B37E5333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2010601030101010101"/>
    <w:charset w:val="86"/>
    <w:family w:val="auto"/>
    <w:pitch w:val="default"/>
    <w:sig w:usb0="00000000" w:usb1="00000000" w:usb2="00000000" w:usb3="00000000" w:csb0="00040000" w:csb1="00000000"/>
    <w:embedRegular r:id="rId2" w:fontKey="{D5116D36-FC21-4BB2-B517-CF482F75CD49}"/>
  </w:font>
  <w:font w:name="仿宋_GB2312">
    <w:panose1 w:val="02010609030101010101"/>
    <w:charset w:val="86"/>
    <w:family w:val="auto"/>
    <w:pitch w:val="default"/>
    <w:sig w:usb0="00000001" w:usb1="080E0000" w:usb2="00000000" w:usb3="00000000" w:csb0="00040000" w:csb1="00000000"/>
    <w:embedRegular r:id="rId3" w:fontKey="{968E0E75-DB5C-47CC-9C84-E38B93205F9F}"/>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87735">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BBC0C1">
                          <w:pPr>
                            <w:bidi w:val="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6BBC0C1">
                    <w:pPr>
                      <w:bidi w:val="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4300E8"/>
    <w:multiLevelType w:val="singleLevel"/>
    <w:tmpl w:val="9A4300E8"/>
    <w:lvl w:ilvl="0" w:tentative="0">
      <w:start w:val="1"/>
      <w:numFmt w:val="decimal"/>
      <w:suff w:val="nothing"/>
      <w:lvlText w:val="%1、"/>
      <w:lvlJc w:val="left"/>
      <w:pPr>
        <w:ind w:left="0" w:firstLine="420"/>
      </w:pPr>
      <w:rPr>
        <w:rFonts w:hint="default"/>
      </w:rPr>
    </w:lvl>
  </w:abstractNum>
  <w:abstractNum w:abstractNumId="1">
    <w:nsid w:val="A9656915"/>
    <w:multiLevelType w:val="multilevel"/>
    <w:tmpl w:val="A9656915"/>
    <w:lvl w:ilvl="0" w:tentative="0">
      <w:start w:val="1"/>
      <w:numFmt w:val="chineseCounting"/>
      <w:suff w:val="nothing"/>
      <w:lvlText w:val="%1、"/>
      <w:lvlJc w:val="left"/>
      <w:pPr>
        <w:ind w:left="0" w:firstLine="0"/>
      </w:pPr>
      <w:rPr>
        <w:rFonts w:hint="eastAsia"/>
      </w:rPr>
    </w:lvl>
    <w:lvl w:ilvl="1" w:tentative="0">
      <w:start w:val="1"/>
      <w:numFmt w:val="chineseCounting"/>
      <w:pStyle w:val="2"/>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2">
    <w:nsid w:val="B8E4E582"/>
    <w:multiLevelType w:val="singleLevel"/>
    <w:tmpl w:val="B8E4E582"/>
    <w:lvl w:ilvl="0" w:tentative="0">
      <w:start w:val="1"/>
      <w:numFmt w:val="decimal"/>
      <w:suff w:val="nothing"/>
      <w:lvlText w:val="%1、"/>
      <w:lvlJc w:val="left"/>
      <w:pPr>
        <w:ind w:left="0" w:firstLine="420"/>
      </w:pPr>
      <w:rPr>
        <w:rFonts w:hint="default"/>
      </w:rPr>
    </w:lvl>
  </w:abstractNum>
  <w:abstractNum w:abstractNumId="3">
    <w:nsid w:val="18E3BA79"/>
    <w:multiLevelType w:val="singleLevel"/>
    <w:tmpl w:val="18E3BA79"/>
    <w:lvl w:ilvl="0" w:tentative="0">
      <w:start w:val="1"/>
      <w:numFmt w:val="chineseCounting"/>
      <w:suff w:val="nothing"/>
      <w:lvlText w:val="（%1）"/>
      <w:lvlJc w:val="left"/>
      <w:pPr>
        <w:ind w:left="0" w:firstLine="420"/>
      </w:pPr>
      <w:rPr>
        <w:rFonts w:hint="eastAsia"/>
      </w:rPr>
    </w:lvl>
  </w:abstractNum>
  <w:abstractNum w:abstractNumId="4">
    <w:nsid w:val="3E4CF915"/>
    <w:multiLevelType w:val="singleLevel"/>
    <w:tmpl w:val="3E4CF915"/>
    <w:lvl w:ilvl="0" w:tentative="0">
      <w:start w:val="1"/>
      <w:numFmt w:val="decimal"/>
      <w:suff w:val="nothing"/>
      <w:lvlText w:val="%1、"/>
      <w:lvlJc w:val="left"/>
      <w:pPr>
        <w:ind w:left="0" w:firstLine="420"/>
      </w:pPr>
      <w:rPr>
        <w:rFonts w:hint="default"/>
        <w:b/>
        <w:bCs/>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QwMGFjODQwYjU2ZjdhMDljMTBiNzM2YTNhMzc3NzQifQ=="/>
  </w:docVars>
  <w:rsids>
    <w:rsidRoot w:val="1F902437"/>
    <w:rsid w:val="002A4551"/>
    <w:rsid w:val="004C5C08"/>
    <w:rsid w:val="00E932A5"/>
    <w:rsid w:val="00FD0F0B"/>
    <w:rsid w:val="012B64AF"/>
    <w:rsid w:val="02A357A5"/>
    <w:rsid w:val="02CD353E"/>
    <w:rsid w:val="045F6B9B"/>
    <w:rsid w:val="09892318"/>
    <w:rsid w:val="09CF2B7B"/>
    <w:rsid w:val="0B341E3E"/>
    <w:rsid w:val="0CC9374C"/>
    <w:rsid w:val="0DDE1D79"/>
    <w:rsid w:val="1796247C"/>
    <w:rsid w:val="1C780EBD"/>
    <w:rsid w:val="1F902437"/>
    <w:rsid w:val="2192228F"/>
    <w:rsid w:val="24BE1410"/>
    <w:rsid w:val="259C7287"/>
    <w:rsid w:val="280451E0"/>
    <w:rsid w:val="2E135F49"/>
    <w:rsid w:val="34E24AFB"/>
    <w:rsid w:val="355A5A68"/>
    <w:rsid w:val="356B048B"/>
    <w:rsid w:val="35DC183E"/>
    <w:rsid w:val="4A8E4991"/>
    <w:rsid w:val="4C181976"/>
    <w:rsid w:val="4D4D5A9E"/>
    <w:rsid w:val="4EF61917"/>
    <w:rsid w:val="4F3837E4"/>
    <w:rsid w:val="4F517F32"/>
    <w:rsid w:val="51905230"/>
    <w:rsid w:val="53DF0A96"/>
    <w:rsid w:val="568B4B9B"/>
    <w:rsid w:val="63626C83"/>
    <w:rsid w:val="678A7DAC"/>
    <w:rsid w:val="693C4933"/>
    <w:rsid w:val="69D313DD"/>
    <w:rsid w:val="6D2121DB"/>
    <w:rsid w:val="6DBF1967"/>
    <w:rsid w:val="6F9208F0"/>
    <w:rsid w:val="70AA3BCE"/>
    <w:rsid w:val="72103214"/>
    <w:rsid w:val="72CE3E8F"/>
    <w:rsid w:val="74476F24"/>
    <w:rsid w:val="775E47A8"/>
    <w:rsid w:val="77754DD3"/>
    <w:rsid w:val="7D3C2A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jc w:val="both"/>
    </w:pPr>
    <w:rPr>
      <w:rFonts w:ascii="Times New Roman" w:hAnsi="Times New Roman" w:eastAsia="仿宋" w:cstheme="minorBidi"/>
      <w:kern w:val="2"/>
      <w:sz w:val="32"/>
      <w:szCs w:val="24"/>
      <w:lang w:val="en-US" w:eastAsia="zh-CN" w:bidi="ar-SA"/>
    </w:rPr>
  </w:style>
  <w:style w:type="paragraph" w:styleId="2">
    <w:name w:val="heading 2"/>
    <w:basedOn w:val="1"/>
    <w:next w:val="1"/>
    <w:unhideWhenUsed/>
    <w:qFormat/>
    <w:uiPriority w:val="0"/>
    <w:pPr>
      <w:keepNext/>
      <w:keepLines/>
      <w:numPr>
        <w:ilvl w:val="1"/>
        <w:numId w:val="1"/>
      </w:numPr>
      <w:tabs>
        <w:tab w:val="left" w:pos="0"/>
      </w:tabs>
      <w:spacing w:line="480" w:lineRule="auto"/>
      <w:ind w:firstLineChars="0"/>
      <w:outlineLvl w:val="1"/>
    </w:pPr>
    <w:rPr>
      <w:rFonts w:ascii="宋体" w:hAnsi="宋体" w:eastAsia="宋体"/>
      <w:b/>
      <w:bCs/>
      <w:sz w:val="32"/>
      <w:szCs w:val="3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rPr>
      <w:rFonts w:ascii="宋体" w:hAnsi="宋体" w:eastAsia="宋体" w:cs="宋体"/>
      <w:sz w:val="32"/>
      <w:szCs w:val="32"/>
      <w:lang w:val="zh-CN" w:eastAsia="zh-CN" w:bidi="zh-CN"/>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table" w:styleId="8">
    <w:name w:val="Table Grid"/>
    <w:basedOn w:val="7"/>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10">
    <w:name w:val="List Paragraph"/>
    <w:basedOn w:val="1"/>
    <w:qFormat/>
    <w:uiPriority w:val="1"/>
    <w:pPr>
      <w:spacing w:before="214"/>
      <w:ind w:left="280" w:hanging="242"/>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jinhu.me</Company>
  <Pages>6</Pages>
  <Words>1961</Words>
  <Characters>2171</Characters>
  <Lines>3</Lines>
  <Paragraphs>1</Paragraphs>
  <TotalTime>0</TotalTime>
  <ScaleCrop>false</ScaleCrop>
  <LinksUpToDate>false</LinksUpToDate>
  <CharactersWithSpaces>2203</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2018-04-25T07:52:00Z</dcterms:created>
  <dc:creator>Administrator</dc:creator>
  <cp:lastModifiedBy>Administrator</cp:lastModifiedBy>
  <dcterms:modified xsi:type="dcterms:W3CDTF">2024-08-12T03:07:28Z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9055734E490B4C10964D9A4E0136B4B4_13</vt:lpwstr>
  </property>
</Properties>
</file>